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2547" w14:textId="54E7E57C" w:rsidR="00D03DDF" w:rsidRPr="003F2DBB" w:rsidRDefault="00BA113D">
      <w:pPr>
        <w:rPr>
          <w:sz w:val="28"/>
          <w:szCs w:val="28"/>
        </w:rPr>
      </w:pPr>
      <w:r w:rsidRPr="003F2DBB">
        <w:rPr>
          <w:sz w:val="28"/>
          <w:szCs w:val="28"/>
        </w:rPr>
        <w:t>Luto</w:t>
      </w:r>
    </w:p>
    <w:p w14:paraId="5BE318AD" w14:textId="155DF8BF" w:rsidR="00BA113D" w:rsidRPr="003F2DBB" w:rsidRDefault="00093A26">
      <w:r w:rsidRPr="003F2DBB">
        <w:t>- O que é</w:t>
      </w:r>
    </w:p>
    <w:p w14:paraId="49989954" w14:textId="4B2C9946" w:rsidR="00093A26" w:rsidRPr="003F2DBB" w:rsidRDefault="00093A26" w:rsidP="006D2DA1">
      <w:pPr>
        <w:ind w:firstLine="360"/>
      </w:pPr>
      <w:r w:rsidRPr="003F2DBB">
        <w:t>O luto é um processo provocado em resposta a uma perda que, e apesar de frequentemente estar associada à morte de um ente querido, pode surgir em detrimento de outros tipos de perdas – como a perda de emprego, fim de relacionamento, alguns acontecimentos e mudanças inesperadas na vida, entre outros. As experiências de perda e luto são muito individuais. Mesmo que a perda desse alguém seja esperada, a pessoa sentir-se-á traumatizada, principalmente se o contexto da morte for envolto em violência</w:t>
      </w:r>
      <w:r w:rsidR="00E74CD8" w:rsidRPr="003F2DBB">
        <w:t xml:space="preserve"> </w:t>
      </w:r>
      <w:r w:rsidR="00E74CD8" w:rsidRPr="003F2DBB">
        <w:fldChar w:fldCharType="begin" w:fldLock="1"/>
      </w:r>
      <w:r w:rsidR="006D2DA1" w:rsidRPr="003F2DB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00E74CD8" w:rsidRPr="003F2DBB">
        <w:fldChar w:fldCharType="separate"/>
      </w:r>
      <w:r w:rsidR="00E74CD8" w:rsidRPr="003F2DBB">
        <w:rPr>
          <w:noProof/>
        </w:rPr>
        <w:t>(Pop-Jordanova, 2021)</w:t>
      </w:r>
      <w:r w:rsidR="00E74CD8" w:rsidRPr="003F2DBB">
        <w:fldChar w:fldCharType="end"/>
      </w:r>
      <w:r w:rsidRPr="003F2DBB">
        <w:t>.</w:t>
      </w:r>
    </w:p>
    <w:p w14:paraId="0ECEF1AA" w14:textId="76DB419E" w:rsidR="006D2DA1" w:rsidRPr="003F2DBB" w:rsidRDefault="006D2DA1" w:rsidP="006D2DA1">
      <w:pPr>
        <w:ind w:firstLine="360"/>
      </w:pPr>
      <w:r w:rsidRPr="003F2DBB">
        <w:t xml:space="preserve">Algumas reações comuns perante o luto incluem </w:t>
      </w:r>
      <w:r w:rsidRPr="003F2DBB">
        <w:t xml:space="preserve">choque, descrença ou negação, </w:t>
      </w:r>
      <w:r w:rsidRPr="003F2DBB">
        <w:t>um elevado</w:t>
      </w:r>
      <w:r w:rsidRPr="003F2DBB">
        <w:t xml:space="preserve"> nível de ansiedade, angústia, raiva, tristeza, ins</w:t>
      </w:r>
      <w:r w:rsidRPr="003F2DBB">
        <w:t>ó</w:t>
      </w:r>
      <w:r w:rsidRPr="003F2DBB">
        <w:t>nia e perda de apetite</w:t>
      </w:r>
      <w:r w:rsidRPr="003F2DBB">
        <w:t xml:space="preserve"> </w:t>
      </w:r>
      <w:r w:rsidRPr="003F2DBB">
        <w:fldChar w:fldCharType="begin" w:fldLock="1"/>
      </w:r>
      <w:r w:rsidR="00945D7B" w:rsidRPr="003F2DB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Pr="003F2DBB">
        <w:fldChar w:fldCharType="separate"/>
      </w:r>
      <w:r w:rsidRPr="003F2DBB">
        <w:rPr>
          <w:noProof/>
        </w:rPr>
        <w:t>(Pop-Jordanova, 2021)</w:t>
      </w:r>
      <w:r w:rsidRPr="003F2DBB">
        <w:fldChar w:fldCharType="end"/>
      </w:r>
      <w:r w:rsidRPr="003F2DBB">
        <w:t>.</w:t>
      </w:r>
    </w:p>
    <w:p w14:paraId="4C069CD0" w14:textId="4C9C9E74" w:rsidR="00650801" w:rsidRPr="003F2DBB" w:rsidRDefault="00650801" w:rsidP="006D2DA1">
      <w:pPr>
        <w:ind w:firstLine="360"/>
      </w:pPr>
      <w:r w:rsidRPr="003F2DBB">
        <w:t xml:space="preserve">A intensidade e duração </w:t>
      </w:r>
      <w:r w:rsidRPr="003F2DBB">
        <w:t xml:space="preserve">do luto </w:t>
      </w:r>
      <w:r w:rsidRPr="003F2DBB">
        <w:t xml:space="preserve">são determinadas por múltiplas forças, incluindo, </w:t>
      </w:r>
      <w:r w:rsidR="00903110" w:rsidRPr="003F2DBB">
        <w:t>nomeadamente</w:t>
      </w:r>
      <w:r w:rsidRPr="003F2DBB">
        <w:t>: a personalidade pr</w:t>
      </w:r>
      <w:r w:rsidR="00903110" w:rsidRPr="003F2DBB">
        <w:t>é-</w:t>
      </w:r>
      <w:r w:rsidRPr="003F2DBB">
        <w:t xml:space="preserve">existente do indivíduo, o </w:t>
      </w:r>
      <w:r w:rsidR="00903110" w:rsidRPr="003F2DBB">
        <w:t>padrão</w:t>
      </w:r>
      <w:r w:rsidRPr="003F2DBB">
        <w:t xml:space="preserve"> de apego, a composição genética e as </w:t>
      </w:r>
      <w:r w:rsidR="00903110" w:rsidRPr="003F2DBB">
        <w:t xml:space="preserve">suas </w:t>
      </w:r>
      <w:r w:rsidRPr="003F2DBB">
        <w:t>vulnerabilidades únicas</w:t>
      </w:r>
      <w:r w:rsidR="00903110" w:rsidRPr="003F2DBB">
        <w:t xml:space="preserve">, a </w:t>
      </w:r>
      <w:r w:rsidRPr="003F2DBB">
        <w:t xml:space="preserve">idade e </w:t>
      </w:r>
      <w:r w:rsidR="00903110" w:rsidRPr="003F2DBB">
        <w:t xml:space="preserve">nível de </w:t>
      </w:r>
      <w:r w:rsidRPr="003F2DBB">
        <w:t>saúde</w:t>
      </w:r>
      <w:r w:rsidR="00903110" w:rsidRPr="003F2DBB">
        <w:t xml:space="preserve">, a </w:t>
      </w:r>
      <w:r w:rsidRPr="003F2DBB">
        <w:t>espiritualidade e identidade cultural</w:t>
      </w:r>
      <w:r w:rsidR="00903110" w:rsidRPr="003F2DBB">
        <w:t xml:space="preserve">, o tipo de </w:t>
      </w:r>
      <w:r w:rsidRPr="003F2DBB">
        <w:t xml:space="preserve">apoios e </w:t>
      </w:r>
      <w:r w:rsidR="00903110" w:rsidRPr="003F2DBB">
        <w:t xml:space="preserve">quantidade de </w:t>
      </w:r>
      <w:r w:rsidRPr="003F2DBB">
        <w:t>recursos</w:t>
      </w:r>
      <w:r w:rsidR="00903110" w:rsidRPr="003F2DBB">
        <w:t xml:space="preserve">, </w:t>
      </w:r>
      <w:r w:rsidRPr="003F2DBB">
        <w:t>o número de perdas</w:t>
      </w:r>
      <w:r w:rsidR="00903110" w:rsidRPr="003F2DBB">
        <w:t xml:space="preserve">, </w:t>
      </w:r>
      <w:r w:rsidRPr="003F2DBB">
        <w:t>a natureza do relacionamento (</w:t>
      </w:r>
      <w:r w:rsidR="00903110" w:rsidRPr="003F2DBB">
        <w:t xml:space="preserve">se eram próximos ou não), </w:t>
      </w:r>
      <w:r w:rsidRPr="003F2DBB">
        <w:t>a relação (</w:t>
      </w:r>
      <w:r w:rsidR="00903110" w:rsidRPr="003F2DBB">
        <w:t xml:space="preserve">a perda de um familiar é indubitavelmente diferente do luto por um mero conhecido) e o </w:t>
      </w:r>
      <w:r w:rsidRPr="003F2DBB">
        <w:t>tipo de perda (</w:t>
      </w:r>
      <w:r w:rsidR="00903110" w:rsidRPr="003F2DBB">
        <w:t>se foi repentina ou esperada e antecipada, se surgira de causas naturais ou advém de um homicídio, suicídio ou acidente)</w:t>
      </w:r>
      <w:r w:rsidR="00093171" w:rsidRPr="003F2DBB">
        <w:t xml:space="preserve"> </w:t>
      </w:r>
      <w:r w:rsidR="00093171" w:rsidRPr="003F2DBB">
        <w:fldChar w:fldCharType="begin" w:fldLock="1"/>
      </w:r>
      <w:r w:rsidR="0013495E" w:rsidRPr="003F2DBB">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093171" w:rsidRPr="003F2DBB">
        <w:fldChar w:fldCharType="separate"/>
      </w:r>
      <w:r w:rsidR="00093171" w:rsidRPr="003F2DBB">
        <w:rPr>
          <w:noProof/>
        </w:rPr>
        <w:t>(Zisook &amp; Shear, 2009)</w:t>
      </w:r>
      <w:r w:rsidR="00093171" w:rsidRPr="003F2DBB">
        <w:fldChar w:fldCharType="end"/>
      </w:r>
      <w:r w:rsidR="00903110" w:rsidRPr="003F2DBB">
        <w:t>.</w:t>
      </w:r>
    </w:p>
    <w:p w14:paraId="3436B782" w14:textId="77777777" w:rsidR="00093A26" w:rsidRPr="003F2DBB" w:rsidRDefault="00093A26"/>
    <w:p w14:paraId="2E8E5895" w14:textId="526FBD0E" w:rsidR="00093A26" w:rsidRPr="003F2DBB" w:rsidRDefault="00CA306C" w:rsidP="00CA306C">
      <w:r>
        <w:t xml:space="preserve">- </w:t>
      </w:r>
      <w:r w:rsidR="00093A26" w:rsidRPr="003F2DBB">
        <w:t xml:space="preserve">As </w:t>
      </w:r>
      <w:r w:rsidR="00E06E01" w:rsidRPr="003F2DBB">
        <w:t>5</w:t>
      </w:r>
      <w:r w:rsidR="00093A26" w:rsidRPr="003F2DBB">
        <w:t xml:space="preserve"> fases do luto</w:t>
      </w:r>
    </w:p>
    <w:p w14:paraId="70811217" w14:textId="25F25A1E" w:rsidR="00093A26" w:rsidRPr="003F2DBB" w:rsidRDefault="00093A26" w:rsidP="00093A26">
      <w:pPr>
        <w:ind w:firstLine="360"/>
      </w:pPr>
      <w:r w:rsidRPr="003F2DBB">
        <w:t xml:space="preserve">As experiências de perda e luto são, sobretudo, individuais, </w:t>
      </w:r>
      <w:r w:rsidR="006D2DA1" w:rsidRPr="003F2DBB">
        <w:t>pelo que a intensidade e a duração do luto são altamente variáveis, não apenas no mesmo indivíduo ao longo do tempo ou após perdas diferentes, mas também em diferentes pessoas que lidam com perdas semelhantes</w:t>
      </w:r>
      <w:r w:rsidR="00945D7B" w:rsidRPr="003F2DBB">
        <w:t xml:space="preserve"> </w:t>
      </w:r>
      <w:r w:rsidR="00945D7B" w:rsidRPr="003F2DBB">
        <w:fldChar w:fldCharType="begin" w:fldLock="1"/>
      </w:r>
      <w:r w:rsidR="00093171" w:rsidRPr="003F2DBB">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945D7B" w:rsidRPr="003F2DBB">
        <w:fldChar w:fldCharType="separate"/>
      </w:r>
      <w:r w:rsidR="00945D7B" w:rsidRPr="003F2DBB">
        <w:rPr>
          <w:noProof/>
        </w:rPr>
        <w:t>(Zisook &amp; Shear, 2009)</w:t>
      </w:r>
      <w:r w:rsidR="00945D7B" w:rsidRPr="003F2DBB">
        <w:fldChar w:fldCharType="end"/>
      </w:r>
      <w:r w:rsidR="006D2DA1" w:rsidRPr="003F2DBB">
        <w:t xml:space="preserve">. </w:t>
      </w:r>
      <w:r w:rsidRPr="003F2DBB">
        <w:t xml:space="preserve">  </w:t>
      </w:r>
    </w:p>
    <w:p w14:paraId="5E5567F5" w14:textId="760C611F" w:rsidR="00093171" w:rsidRPr="003F2DBB" w:rsidRDefault="00093171" w:rsidP="00093A26">
      <w:pPr>
        <w:ind w:firstLine="360"/>
      </w:pPr>
      <w:r w:rsidRPr="003F2DBB">
        <w:t xml:space="preserve">Contudo, </w:t>
      </w:r>
      <w:r w:rsidR="00F4412D" w:rsidRPr="003F2DBB">
        <w:t xml:space="preserve">e apesar de cada sujeito vivenciar o luto de forma distinto, existem alguns pontos em comum – a sua divisão, segundo  </w:t>
      </w:r>
      <w:r w:rsidR="00F4412D" w:rsidRPr="003F2DBB">
        <w:t xml:space="preserve">Elisabeth </w:t>
      </w:r>
      <w:proofErr w:type="spellStart"/>
      <w:r w:rsidR="00F4412D" w:rsidRPr="003F2DBB">
        <w:t>Kübler</w:t>
      </w:r>
      <w:proofErr w:type="spellEnd"/>
      <w:r w:rsidR="00F4412D" w:rsidRPr="003F2DBB">
        <w:t>-Ross</w:t>
      </w:r>
      <w:r w:rsidR="00F4412D" w:rsidRPr="003F2DBB">
        <w:t>, psiquiatra suíça, em cinco estágios</w:t>
      </w:r>
      <w:r w:rsidR="0013495E" w:rsidRPr="003F2DBB">
        <w:t xml:space="preserve"> </w:t>
      </w:r>
      <w:r w:rsidR="0013495E" w:rsidRPr="003F2DBB">
        <w:fldChar w:fldCharType="begin" w:fldLock="1"/>
      </w:r>
      <w:r w:rsidR="003F2DBB">
        <w:instrText>ADDIN CSL_CITATION {"citationItems":[{"id":"ITEM-1","itemData":{"author":[{"dropping-particle":"","family":"Kübler-Ross","given":"Elisabeth","non-dropping-particle":"","parse-names":false,"suffix":""}],"id":"ITEM-1","issued":{"date-parts":[["2009"]]},"title":"On Death and Dying - What the Dying Have to Teach Doctors, Nurses, Clergy and their own Families 40th anniversary edition","type":"book"},"uris":["http://www.mendeley.com/documents/?uuid=cb6143b8-9e83-4b3d-b964-c7ba207ddf9b"]},{"id":"ITEM-2","itemData":{"DOI":"10.2478/PRILOZI-2021-0014","abstract":"Grief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lives.","author":[{"dropping-particle":"","family":"Pop-Jordanova","given":"Nada","non-dropping-particle":"","parse-names":false,"suffix":""}],"container-title":"PRILOZI","id":"ITEM-2","issue":"2","issued":{"date-parts":[["2021","10","1"]]},"page":"9-18","publisher":"Walter de Gruyter GmbH","title":"Grief: Aetiology, Symptoms and Management","type":"article-journal","volume":"42"},"uris":["http://www.mendeley.com/documents/?uuid=19d10109-7f59-3c8b-bad9-c7d64e25c578"]},{"id":"ITEM-3","itemData":{"URL":"https://www.healthline.com/health/stages-of-grief","accessed":{"date-parts":[["2023","10","3"]]},"author":[{"dropping-particle":"","family":"Holland","given":"Kimberly","non-dropping-particle":"","parse-names":false,"suffix":""}],"id":"ITEM-3","issued":{"date-parts":[["2023"]]},"title":"The Stages of Grief and What to Expect","type":"webpage"},"uris":["http://www.mendeley.com/documents/?uuid=86efaf31-0049-3604-9b5a-1532058bc673"]},{"id":"ITEM-4","itemData":{"author":[{"dropping-particle":"","family":"Zisook","given":"Sidney","non-dropping-particle":"","parse-names":false,"suffix":""},{"dropping-particle":"","family":"Shear","given":"Katherine","non-dropping-particle":"","parse-names":false,"suffix":""}],"id":"ITEM-4","issued":{"date-parts":[["2009"]]},"title":"Grief and bereavement: what psychiatrists need to know","type":"article-journal"},"uris":["http://www.mendeley.com/documents/?uuid=087afaa9-d5ed-4e50-b538-9551e1df0ead"]}],"mendeley":{"formattedCitation":"(Holland, 2023; Kübler-Ross, 2009; Pop-Jordanova, 2021; Zisook &amp; Shear, 2009)","plainTextFormattedCitation":"(Holland, 2023; Kübler-Ross, 2009; Pop-Jordanova, 2021; Zisook &amp; Shear, 2009)","previouslyFormattedCitation":"(Holland, 2023; Kübler-Ross, 2009; Pop-Jordanova, 2021; Zisook &amp; Shear, 2009)"},"properties":{"noteIndex":0},"schema":"https://github.com/citation-style-language/schema/raw/master/csl-citation.json"}</w:instrText>
      </w:r>
      <w:r w:rsidR="0013495E" w:rsidRPr="003F2DBB">
        <w:fldChar w:fldCharType="separate"/>
      </w:r>
      <w:r w:rsidR="0013495E" w:rsidRPr="003F2DBB">
        <w:rPr>
          <w:noProof/>
        </w:rPr>
        <w:t>(Holland, 2023; Kübler-Ross, 2009; Pop-Jordanova, 2021; Zisook &amp; Shear, 2009)</w:t>
      </w:r>
      <w:r w:rsidR="0013495E" w:rsidRPr="003F2DBB">
        <w:fldChar w:fldCharType="end"/>
      </w:r>
      <w:r w:rsidR="00F4412D" w:rsidRPr="003F2DBB">
        <w:t>:</w:t>
      </w:r>
    </w:p>
    <w:p w14:paraId="770A6C49" w14:textId="580F9BAC" w:rsidR="00F4412D" w:rsidRPr="003F2DBB" w:rsidRDefault="00F4412D" w:rsidP="00093A26">
      <w:pPr>
        <w:ind w:firstLine="360"/>
      </w:pPr>
      <w:r w:rsidRPr="003F2DBB">
        <w:t xml:space="preserve">- Negação e Isolamento – em resposta a uma emoção avassaladora, o indivíduo finge ou pretende que a perda ou mudança não ocorrera; nesta fase, o mundo torna-se sem sentido e opressor, a vida não faz sentido e uma sensação de dormência apodera-se do seu corpo; </w:t>
      </w:r>
    </w:p>
    <w:p w14:paraId="3164D858" w14:textId="7F9684D3" w:rsidR="00111592" w:rsidRPr="003F2DBB" w:rsidRDefault="00111592" w:rsidP="00093A26">
      <w:pPr>
        <w:ind w:firstLine="360"/>
      </w:pPr>
      <w:r w:rsidRPr="003F2DBB">
        <w:t xml:space="preserve">- </w:t>
      </w:r>
      <w:r w:rsidR="004E19E9" w:rsidRPr="003F2DBB">
        <w:t xml:space="preserve">Raiva – surge devido à impossibilidade do Ego manter a negação e o isolamento como um efeito de mascaramento (na medida que esconde muitas das emoções de dor e tristeza que o sujeito carrega); a raiva pode ser redirecionada para outras pessoas (como, por exemplo, para a que padecera), objetos inanimados e para o ambiente externo; junto com a raiva, também podem surgir sentimentos de revolta, inveja e ressentimento; </w:t>
      </w:r>
      <w:r w:rsidR="004661AD" w:rsidRPr="003F2DBB">
        <w:t xml:space="preserve">nesta fase, pode surgir uma revolta e negação da existência de Deus; </w:t>
      </w:r>
      <w:r w:rsidR="004E19E9" w:rsidRPr="003F2DBB">
        <w:t>caracteriza-se por uma elevada propensão à instabilidade emocional e a um pensamento puramente irracional;</w:t>
      </w:r>
    </w:p>
    <w:p w14:paraId="764B9B76" w14:textId="14D9BC15" w:rsidR="004E19E9" w:rsidRPr="003F2DBB" w:rsidRDefault="004E19E9" w:rsidP="00093A26">
      <w:pPr>
        <w:ind w:firstLine="360"/>
      </w:pPr>
      <w:r w:rsidRPr="003F2DBB">
        <w:t>- Barganha</w:t>
      </w:r>
      <w:r w:rsidR="004661AD" w:rsidRPr="003F2DBB">
        <w:t xml:space="preserve"> – também chamada de Negociação, esta fase é marcada pela busca desesperada em recuperar o que fora perdido através de uma série de trocas</w:t>
      </w:r>
      <w:r w:rsidR="0077587B" w:rsidRPr="003F2DBB">
        <w:t xml:space="preserve">, de modo que tudo volte a ser como antes; o indivíduo tende a perder-se num labirinto de afirmações do tipo “Se ao menos…” ou “E se…”; etapa </w:t>
      </w:r>
      <w:r w:rsidR="0077587B" w:rsidRPr="003F2DBB">
        <w:lastRenderedPageBreak/>
        <w:t>onde se destacam sentimentos de culpa; é comum realizarem-se promessas e pactos, nomeadamente a Deus, em troca de alívio da tristeza e dor;</w:t>
      </w:r>
    </w:p>
    <w:p w14:paraId="629DB734" w14:textId="2CDF2260" w:rsidR="0077587B" w:rsidRPr="003F2DBB" w:rsidRDefault="0077587B" w:rsidP="00093A26">
      <w:pPr>
        <w:ind w:firstLine="360"/>
      </w:pPr>
      <w:r w:rsidRPr="003F2DBB">
        <w:t xml:space="preserve">- </w:t>
      </w:r>
      <w:r w:rsidR="007D2F1C" w:rsidRPr="003F2DBB">
        <w:t xml:space="preserve">Depressão – </w:t>
      </w:r>
      <w:r w:rsidR="00FF5255" w:rsidRPr="003F2DBB">
        <w:t>estágio silencioso de luto</w:t>
      </w:r>
      <w:r w:rsidR="007D2F1C" w:rsidRPr="003F2DBB">
        <w:t xml:space="preserve"> em que ocorre um sofrimento profundo; já não é possível negar as condições em que o indivíduo se encontra, quando as perspetivas da perda são claramente sentidas; </w:t>
      </w:r>
      <w:r w:rsidR="00FF5255" w:rsidRPr="003F2DBB">
        <w:t xml:space="preserve">marcada pelo vazio, tristeza intensa, culpa, desolação, desesperança, medo e uma desistência da vida – o que leva por vezes ao isolamento; </w:t>
      </w:r>
      <w:r w:rsidR="007D2F1C" w:rsidRPr="003F2DBB">
        <w:t xml:space="preserve">note-se, contudo, que esta depressão não se </w:t>
      </w:r>
      <w:r w:rsidR="00FF5255" w:rsidRPr="003F2DBB">
        <w:t>refere à perturbação mental;</w:t>
      </w:r>
    </w:p>
    <w:p w14:paraId="4AB3750D" w14:textId="34515C40" w:rsidR="00FF5255" w:rsidRPr="003F2DBB" w:rsidRDefault="00FF5255" w:rsidP="00093A26">
      <w:pPr>
        <w:ind w:firstLine="360"/>
      </w:pPr>
      <w:r w:rsidRPr="003F2DBB">
        <w:t xml:space="preserve">- Aceitação – é neste momento que a pessoa aceita a sua nova realidade; </w:t>
      </w:r>
      <w:r w:rsidR="0045090C" w:rsidRPr="003F2DBB">
        <w:t xml:space="preserve">as emoções não são tão evidenciadas e o indivíduo prontifica-se a enfrentar a situação com consciência das suas possibilidades e limitações; </w:t>
      </w:r>
      <w:r w:rsidRPr="003F2DBB">
        <w:t xml:space="preserve">é frequentemente confundida como um estágio feliz e como a aceitação da perda, o que não é verdade: esta fase é quase destituída de emoções e a maioria das pessoas nunca se irá sentir bem em relação à perda (nomeadamente, de </w:t>
      </w:r>
      <w:r w:rsidR="0045090C" w:rsidRPr="003F2DBB">
        <w:t>um ente querido</w:t>
      </w:r>
      <w:r w:rsidRPr="003F2DBB">
        <w:t>)</w:t>
      </w:r>
      <w:r w:rsidR="0045090C" w:rsidRPr="003F2DBB">
        <w:t>; o indivíduo não aceita a perda, aceita sim a nova vida e tenta aprender a viver com ela.</w:t>
      </w:r>
    </w:p>
    <w:p w14:paraId="513C4A69" w14:textId="77777777" w:rsidR="007D2F1C" w:rsidRPr="003F2DBB" w:rsidRDefault="007D2F1C" w:rsidP="00421F7F"/>
    <w:p w14:paraId="34DE6262" w14:textId="62AA7DD5" w:rsidR="007D2F1C" w:rsidRPr="003F2DBB" w:rsidRDefault="007D2F1C" w:rsidP="00093A26">
      <w:pPr>
        <w:ind w:firstLine="360"/>
      </w:pPr>
      <w:r w:rsidRPr="003F2DBB">
        <w:drawing>
          <wp:inline distT="0" distB="0" distL="0" distR="0" wp14:anchorId="56D6E549" wp14:editId="7C88B71A">
            <wp:extent cx="5220105" cy="3338244"/>
            <wp:effectExtent l="0" t="0" r="0" b="0"/>
            <wp:docPr id="1080201922" name="Picture 1" descr="A cartoon of a person in th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1922" name="Picture 1" descr="A cartoon of a person in the rai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004"/>
                    <a:stretch/>
                  </pic:blipFill>
                  <pic:spPr bwMode="auto">
                    <a:xfrm>
                      <a:off x="0" y="0"/>
                      <a:ext cx="5220903" cy="3338754"/>
                    </a:xfrm>
                    <a:prstGeom prst="rect">
                      <a:avLst/>
                    </a:prstGeom>
                    <a:noFill/>
                    <a:ln>
                      <a:noFill/>
                    </a:ln>
                    <a:extLst>
                      <a:ext uri="{53640926-AAD7-44D8-BBD7-CCE9431645EC}">
                        <a14:shadowObscured xmlns:a14="http://schemas.microsoft.com/office/drawing/2010/main"/>
                      </a:ext>
                    </a:extLst>
                  </pic:spPr>
                </pic:pic>
              </a:graphicData>
            </a:graphic>
          </wp:inline>
        </w:drawing>
      </w:r>
    </w:p>
    <w:p w14:paraId="102111F1" w14:textId="720BA6E7" w:rsidR="003F2DBB" w:rsidRDefault="003F2DBB" w:rsidP="00093A26">
      <w:pPr>
        <w:ind w:firstLine="360"/>
      </w:pPr>
      <w:r w:rsidRPr="003F2DBB">
        <w:t xml:space="preserve">Fig,1 </w:t>
      </w:r>
      <w:r>
        <w:t xml:space="preserve">– As fases do luto </w:t>
      </w:r>
      <w:r>
        <w:fldChar w:fldCharType="begin" w:fldLock="1"/>
      </w:r>
      <w:r w:rsidR="00D06BB1">
        <w:instrText>ADDIN CSL_CITATION {"citationItems":[{"id":"ITEM-1","itemData":{"URL":"https://marketoonist.com/2009/04/the-five-stages-of-recession.html","accessed":{"date-parts":[["2023","10","4"]]},"author":[{"dropping-particle":"","family":"Fishburne","given":"Tom","non-dropping-particle":"","parse-names":false,"suffix":""}],"id":"ITEM-1","issued":{"date-parts":[["2009"]]},"title":"the five stages of recession - Marketoonist","type":"webpage"},"uris":["http://www.mendeley.com/documents/?uuid=8730ad30-813b-38b3-993e-7e87d38e4906"]},{"id":"ITEM-2","itemData":{"URL":"https://www.yaalom.com.br/post/as-cinco-fases-do-luto","accessed":{"date-parts":[["2023","10","4"]]},"author":[{"dropping-particle":"","family":"Wiedermann","given":"Tanise","non-dropping-particle":"","parse-names":false,"suffix":""}],"id":"ITEM-2","issued":{"date-parts":[["0"]]},"title":"As Cinco Fases do Luto","type":"webpage"},"uris":["http://www.mendeley.com/documents/?uuid=b7a03c5d-4f17-3512-a956-f8dfa8a77efa"]}],"mendeley":{"formattedCitation":"(Fishburne, 2009; Wiedermann, n.d.)","plainTextFormattedCitation":"(Fishburne, 2009; Wiedermann, n.d.)","previouslyFormattedCitation":"(Fishburne, 2009; Wiedermann, n.d.)"},"properties":{"noteIndex":0},"schema":"https://github.com/citation-style-language/schema/raw/master/csl-citation.json"}</w:instrText>
      </w:r>
      <w:r>
        <w:fldChar w:fldCharType="separate"/>
      </w:r>
      <w:r w:rsidRPr="003F2DBB">
        <w:rPr>
          <w:noProof/>
        </w:rPr>
        <w:t>(Fishburne, 2009; Wiedermann, n.d.)</w:t>
      </w:r>
      <w:r>
        <w:fldChar w:fldCharType="end"/>
      </w:r>
    </w:p>
    <w:p w14:paraId="1DC7F466" w14:textId="77777777" w:rsidR="006F767A" w:rsidRDefault="006F767A" w:rsidP="00093A26">
      <w:pPr>
        <w:ind w:firstLine="360"/>
      </w:pPr>
    </w:p>
    <w:p w14:paraId="2D821D48" w14:textId="4C58DDA4" w:rsidR="006F767A" w:rsidRDefault="00CF0043" w:rsidP="00F47A27">
      <w:r>
        <w:t xml:space="preserve">- Luto </w:t>
      </w:r>
      <w:r w:rsidR="00F47A27">
        <w:t>e depressão</w:t>
      </w:r>
    </w:p>
    <w:p w14:paraId="056A4DFF" w14:textId="4F13C8DB" w:rsidR="00CF0043" w:rsidRDefault="00CF0043" w:rsidP="00F47A27">
      <w:pPr>
        <w:ind w:firstLine="720"/>
      </w:pPr>
      <w:r>
        <w:t>O luto considerado dentro dos parâmetros da normalidade está relacionado ao facto de a</w:t>
      </w:r>
      <w:r>
        <w:t xml:space="preserve"> </w:t>
      </w:r>
      <w:r>
        <w:t>pessoa enlutada conseguir ultrapassar o processo de luto através da realização de diversas tarefas,</w:t>
      </w:r>
      <w:r w:rsidR="00F47A27">
        <w:t xml:space="preserve"> nomeadamente as descritas acima aquando das diferentes fases do luto. No entanto, s</w:t>
      </w:r>
      <w:r>
        <w:t>e est</w:t>
      </w:r>
      <w:r w:rsidR="00F47A27">
        <w:t xml:space="preserve">es estágios </w:t>
      </w:r>
      <w:r>
        <w:t xml:space="preserve">não são vivenciadas e ultrapassadas num </w:t>
      </w:r>
      <w:r w:rsidR="00156E49">
        <w:t>dado</w:t>
      </w:r>
      <w:r>
        <w:t xml:space="preserve"> </w:t>
      </w:r>
      <w:r>
        <w:t>período</w:t>
      </w:r>
      <w:r w:rsidR="00156E49">
        <w:t xml:space="preserve"> de tempo</w:t>
      </w:r>
      <w:r>
        <w:t>,</w:t>
      </w:r>
      <w:r>
        <w:t xml:space="preserve"> </w:t>
      </w:r>
      <w:r w:rsidR="00D06BB1">
        <w:t xml:space="preserve">nomeadamente de um ano para adultos e de 6 meses para crianças e adolescentes </w:t>
      </w:r>
      <w:r w:rsidR="00D06BB1">
        <w:fldChar w:fldCharType="begin" w:fldLock="1"/>
      </w:r>
      <w:r w:rsidR="00156E49">
        <w:instrText>ADDIN CSL_CITATION {"citationItems":[{"id":"ITEM-1","itemData":{"DOI":"10.3389/FPSYT.2020.00752","ISSN":"16640640","PMID":"32848929","author":[{"dropping-particle":"","family":"Eisma","given":"Maarten C.","non-dropping-particle":"","parse-names":false,"suffix":""},{"dropping-particle":"","family":"Rosner","given":"Rita","non-dropping-particle":"","parse-names":false,"suffix":""},{"dropping-particle":"","family":"Comtesse","given":"Hannah","non-dropping-particle":"","parse-names":false,"suffix":""}],"container-title":"Frontiers in Psychiatry","id":"ITEM-1","issued":{"date-parts":[["2020","8","7"]]},"publisher":"Frontiers Media SA","title":"ICD-11 Prolonged Grief Disorder Criteria: Turning Challenges Into Opportunities With Multiverse Analyses","type":"article-journal","volume":"11"},"uris":["http://www.mendeley.com/documents/?uuid=da9335c7-dab5-3396-b912-cd4dabbc897c"]}],"mendeley":{"formattedCitation":"(Eisma et al., 2020)","plainTextFormattedCitation":"(Eisma et al., 2020)","previouslyFormattedCitation":"(Eisma et al., 2020)"},"properties":{"noteIndex":0},"schema":"https://github.com/citation-style-language/schema/raw/master/csl-citation.json"}</w:instrText>
      </w:r>
      <w:r w:rsidR="00D06BB1">
        <w:fldChar w:fldCharType="separate"/>
      </w:r>
      <w:r w:rsidR="00D06BB1" w:rsidRPr="00D06BB1">
        <w:rPr>
          <w:noProof/>
        </w:rPr>
        <w:t>(Eisma et al., 2020)</w:t>
      </w:r>
      <w:r w:rsidR="00D06BB1">
        <w:fldChar w:fldCharType="end"/>
      </w:r>
      <w:r>
        <w:t>,</w:t>
      </w:r>
      <w:r>
        <w:t xml:space="preserve"> </w:t>
      </w:r>
      <w:r>
        <w:t xml:space="preserve">poder-se-á estar na presença de </w:t>
      </w:r>
      <w:r>
        <w:lastRenderedPageBreak/>
        <w:t>um luto não</w:t>
      </w:r>
      <w:r w:rsidR="00156E49">
        <w:t>-</w:t>
      </w:r>
      <w:r>
        <w:t>adaptativo</w:t>
      </w:r>
      <w:r w:rsidR="00156E49">
        <w:t xml:space="preserve"> patológico – uma intensificação do luto de tal forma que a pessoa continua a sentir-se destroçada, originando um comportamento não-adaptativo face à perda, permanecendo numa única fase e impedindo a sua progressão com vista à finalização do processo </w:t>
      </w:r>
      <w:r w:rsidR="00156E49">
        <w:fldChar w:fldCharType="begin" w:fldLock="1"/>
      </w:r>
      <w:r w:rsidR="00527BED">
        <w:instrText>ADDIN CSL_CITATION {"citationItems":[{"id":"ITEM-1","itemData":{"DOI":"10.1176/AJP.137.10.1157","ISSN":"0002953X","PMID":"7416259","abstract":"The authors studied the case material for patients treated with either psychoanalysis or brief therapy to examine the basis for the various states of pathological grief after bereavement. They view these states as intensifications or unusual prolongations of states found in normal grief and describe them in terms of the reemergence of self-images and role relationship models that had been held in check by the existence of the deceased person. This conclusion concerning the preexisting mental schemata leads to an elaboration and partial revision of theories of regression, ambivalence, and introjection as causes of pathological grief.","author":[{"dropping-particle":"","family":"Horowitz","given":"M. J.","non-dropping-particle":"","parse-names":false,"suffix":""},{"dropping-particle":"","family":"Wilner","given":"N.","non-dropping-particle":"","parse-names":false,"suffix":""},{"dropping-particle":"","family":"Marmar","given":"C.","non-dropping-particle":"","parse-names":false,"suffix":""},{"dropping-particle":"","family":"Krupnick","given":"J.","non-dropping-particle":"","parse-names":false,"suffix":""}],"container-title":"American Journal of Psychiatry","id":"ITEM-1","issue":"10","issued":{"date-parts":[["1980"]]},"page":"1157-1162","title":"Pathological grief and the activation of latent self-images","type":"article-journal","volume":"137"},"uris":["http://www.mendeley.com/documents/?uuid=65238a4d-1475-392d-a856-cd3a97d41669"]}],"mendeley":{"formattedCitation":"(Horowitz et al., 1980)","plainTextFormattedCitation":"(Horowitz et al., 1980)","previouslyFormattedCitation":"(Horowitz et al., 1980)"},"properties":{"noteIndex":0},"schema":"https://github.com/citation-style-language/schema/raw/master/csl-citation.json"}</w:instrText>
      </w:r>
      <w:r w:rsidR="00156E49">
        <w:fldChar w:fldCharType="separate"/>
      </w:r>
      <w:r w:rsidR="00156E49" w:rsidRPr="00156E49">
        <w:rPr>
          <w:noProof/>
        </w:rPr>
        <w:t>(Horowitz et al., 1980)</w:t>
      </w:r>
      <w:r w:rsidR="00156E49">
        <w:fldChar w:fldCharType="end"/>
      </w:r>
      <w:r w:rsidR="00527BED">
        <w:t>.</w:t>
      </w:r>
    </w:p>
    <w:p w14:paraId="0E42D21D" w14:textId="22531778" w:rsidR="003F2DBB" w:rsidRPr="00043269" w:rsidRDefault="00527BED" w:rsidP="00043269">
      <w:pPr>
        <w:ind w:firstLine="720"/>
      </w:pPr>
      <w:r>
        <w:t xml:space="preserve">A longo prazo, um luto patológico poderá promover o aparecimento de outras perturbações – entre elas, a depressão maior </w:t>
      </w:r>
      <w:r>
        <w:fldChar w:fldCharType="begin" w:fldLock="1"/>
      </w:r>
      <w:r>
        <w:instrText>ADDIN CSL_CITATION {"citationItems":[{"id":"ITEM-1","itemData":{"DOI":"10.1080/21674086.1937.11925307","ISSN":"0033-2828","abstract":"(1937). Absence of Grief. The Psychoanalytic Quarterly: Vol. 6, No. 1, pp. 12-22.","author":[{"dropping-particle":"","family":"Deutsch","given":"Helene","non-dropping-particle":"","parse-names":false,"suffix":""},{"dropping-particle":"","family":"Jackson","given":"Edith","non-dropping-particle":"","parse-names":false,"suffix":""}],"container-title":"The Psychoanalytic Quarterly","id":"ITEM-1","issue":"1","issued":{"date-parts":[["1937","1"]]},"page":"12-22","publisher":"Routledge","title":"Absence of Grief","type":"article-journal","volume":"6"},"uris":["http://www.mendeley.com/documents/?uuid=1311a3be-b0d0-3293-a2e4-d77f0e65030c"]}],"mendeley":{"formattedCitation":"(Deutsch &amp; Jackson, 1937)","plainTextFormattedCitation":"(Deutsch &amp; Jackson, 1937)"},"properties":{"noteIndex":0},"schema":"https://github.com/citation-style-language/schema/raw/master/csl-citation.json"}</w:instrText>
      </w:r>
      <w:r>
        <w:fldChar w:fldCharType="separate"/>
      </w:r>
      <w:r w:rsidRPr="00527BED">
        <w:rPr>
          <w:noProof/>
        </w:rPr>
        <w:t>(Deutsch &amp; Jackson, 1937)</w:t>
      </w:r>
      <w:r>
        <w:fldChar w:fldCharType="end"/>
      </w:r>
      <w:r w:rsidR="00C33AC7">
        <w:t xml:space="preserve"> que, no ICD-11, inclui o critério de diagnóstico </w:t>
      </w:r>
      <w:r w:rsidR="00D63CC3">
        <w:t xml:space="preserve">para esta última perturbação citada perante uma fase de luto (já referido anteriormente). </w:t>
      </w:r>
      <w:r w:rsidR="00C33AC7">
        <w:t xml:space="preserve"> </w:t>
      </w:r>
    </w:p>
    <w:sectPr w:rsidR="003F2DBB" w:rsidRPr="0004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29"/>
    <w:multiLevelType w:val="hybridMultilevel"/>
    <w:tmpl w:val="F08E2B8A"/>
    <w:lvl w:ilvl="0" w:tplc="1536FB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0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MrC0NDI0MzUwMTVQ0lEKTi0uzszPAykwqgUAIuwgDCwAAAA="/>
  </w:docVars>
  <w:rsids>
    <w:rsidRoot w:val="00BA113D"/>
    <w:rsid w:val="00043269"/>
    <w:rsid w:val="00093171"/>
    <w:rsid w:val="00093A26"/>
    <w:rsid w:val="000E3C07"/>
    <w:rsid w:val="000E4CA1"/>
    <w:rsid w:val="00111592"/>
    <w:rsid w:val="0013495E"/>
    <w:rsid w:val="00156E49"/>
    <w:rsid w:val="003F2DBB"/>
    <w:rsid w:val="00421F7F"/>
    <w:rsid w:val="0045090C"/>
    <w:rsid w:val="004661AD"/>
    <w:rsid w:val="004E19E9"/>
    <w:rsid w:val="00527BED"/>
    <w:rsid w:val="00650801"/>
    <w:rsid w:val="006D2DA1"/>
    <w:rsid w:val="006F767A"/>
    <w:rsid w:val="0077587B"/>
    <w:rsid w:val="007D2F1C"/>
    <w:rsid w:val="00852048"/>
    <w:rsid w:val="00903110"/>
    <w:rsid w:val="00945D7B"/>
    <w:rsid w:val="00A65BDE"/>
    <w:rsid w:val="00A81586"/>
    <w:rsid w:val="00BA113D"/>
    <w:rsid w:val="00BF5DEA"/>
    <w:rsid w:val="00C33AC7"/>
    <w:rsid w:val="00CA306C"/>
    <w:rsid w:val="00CF0043"/>
    <w:rsid w:val="00D03DDF"/>
    <w:rsid w:val="00D06BB1"/>
    <w:rsid w:val="00D63CC3"/>
    <w:rsid w:val="00E06E01"/>
    <w:rsid w:val="00E74CD8"/>
    <w:rsid w:val="00F4412D"/>
    <w:rsid w:val="00F47A27"/>
    <w:rsid w:val="00FF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037"/>
  <w15:chartTrackingRefBased/>
  <w15:docId w15:val="{7B9BA637-D23E-4661-8E85-981E85D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866-CAAD-4DFB-A8FB-9AD8EBB3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28</cp:revision>
  <dcterms:created xsi:type="dcterms:W3CDTF">2023-10-03T15:36:00Z</dcterms:created>
  <dcterms:modified xsi:type="dcterms:W3CDTF">2023-10-04T10:47:00Z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526a7f6d-a150-3812-b1a1-d5dcf95024c0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