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  <w:color w:val="1f1f1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u w:val="single"/>
          <w:rtl w:val="0"/>
        </w:rPr>
        <w:t xml:space="preserve">Fantasy Analyzer Guide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leverage the NHL Fantasy Draft Architect to your advantage during a draft, you must treat it as a Real-Time Decision Support System. It is designed to move you from subjective "gut feelings" to data-driven probability.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your tactical playbook for using the analyzer to dominate your 12-team draft: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"Value Gap" Strategy (Pre-Draft &amp; Early Rounds)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not draft based on absolute rankings (ADP). Draft based on the Value Gap. If a player has an ADP of 50 but their Z-Score indicates they provide value equivalent to a player ranked 30, your Value Gap will be high.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During the draft, keep the Optimization Matrix tab open. Sort by Value Gap. If a player shows as a 🎯 Target Immediately, you are getting "free" statistical production that your opponents are ignoring because they are following a generic Top-200 list.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Exploiting "Regression Alerts" (The "Buy Low" Edge)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Fantasy owners often overreact to a player's recent slump or undervalue a player who is currently "unlucky" (low PDO).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the Regression Alerts tab. If a high-end player (e.g., a top-tier winger) is flagged as 📈 Buy Low because their PDO is below 0.975, this is your signal that their shooting percentage or save percentage is likely to revert to the mean, resulting in a spike in production. Use this to justify reaching for them if they fall into the "Avoid/Overpay" category of other managers.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Roster Construction (The "Punt/Load" Edge)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H2H categories, you cannot be elite everywhere. You must specialize.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the ⚖️ Custom Category Weights in the sidebar. If you decide to "punt" Hits and Blocks to prioritize high-end offense, adjust those sliders to 0.0. The engine will immediately re-calculate the total_z and value_gap across the entire player pool, highlighting players who have become "hidden elite" value targets under your specific punting strategy.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Live Roster Tracker (The "Positional Scarcity" Edge)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common mistake is drafting the "best player available" regardless of position, leading to a roster full of Centers and a dearth of Defensemen/Goalies.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you draft, use the Live Roster Tracker tab to log every pick (yours and your opponents). The analyzer will visualize your positional progress bars. When the system shows your D or G slots are near capacity, the engine’s Position-Isolated Filter allows you to ignore the noise of high-value Centers and focus specifically on filling your weakest positional links with the highest remaining Value Gap.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Mid-to-Late Round "Gem" Identification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Most drafts are won in rounds 8-15, where opponents start drafting based on name recognition.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Tactical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the OZS% (Offensive Zone Start %) metric in the High-Deployment Profiles tab. A late-round player with high deployment is a player the coach trusts with scoring opportunities. When ADP rankings are gone, sorting by OZS% identifies sleepers who are statistically poised for a breakout.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Checklist for Draft Day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Early Rounds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Maximize Value Gap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Optimization Matrix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Middle Rounds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Identify undervalued "Unlucky" players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Regression Alerts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Late Rounds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Target high usage/deployment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High-Deployment Profiles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Entire Draft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Prevent positional gaps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Live Roster Tracker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strictly following the Action Tier (Target vs. Pass) generated by the engine, you effectively neutralize the "emotional drafting" that plagues 12-team leagues. Focus on the data, ignore the name-value bias, and you will draft a mathematically superior roster.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