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4E85" w:rsidRDefault="00444E85">
      <w:pPr>
        <w:widowControl w:val="0"/>
        <w:spacing w:after="0"/>
      </w:pPr>
    </w:p>
    <w:p w:rsidR="00444E85" w:rsidRDefault="00207DF7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heading=h.gjdgxs"/>
      <w:bookmarkEnd w:id="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Нижегородский государственный университет имени Н. И. Лобачевского</w:t>
      </w:r>
    </w:p>
    <w:p w:rsidR="00444E85" w:rsidRDefault="00207DF7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Радиофизический факультет</w:t>
      </w:r>
    </w:p>
    <w:p w:rsidR="00444E85" w:rsidRDefault="00444E85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444E85" w:rsidRDefault="00444E85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444E85" w:rsidRDefault="00444E85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444E85" w:rsidRDefault="00444E85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444E85" w:rsidRDefault="00444E85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444E85" w:rsidRDefault="00444E85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44E85" w:rsidRDefault="00207DF7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Отчет по лабораторной работе </w:t>
      </w:r>
    </w:p>
    <w:p w:rsidR="00444E85" w:rsidRDefault="00207DF7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«Распространение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декаметровых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радиоволн в ионосфере»</w:t>
      </w:r>
    </w:p>
    <w:p w:rsidR="00444E85" w:rsidRDefault="00444E85">
      <w:pP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444E85" w:rsidRDefault="00444E85">
      <w:pP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444E85" w:rsidRDefault="00444E85">
      <w:pP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444E85" w:rsidRDefault="00444E85">
      <w:pP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444E85" w:rsidRDefault="00207DF7">
      <w:pP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Выполнили студенты 44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группы</w:t>
      </w:r>
    </w:p>
    <w:p w:rsidR="00444E85" w:rsidRDefault="00FC6551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Асяев Дмитрий</w:t>
      </w:r>
    </w:p>
    <w:p w:rsidR="00FC6551" w:rsidRDefault="00FC6551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Демин Валерий</w:t>
      </w:r>
    </w:p>
    <w:p w:rsidR="00444E85" w:rsidRDefault="00444E85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444E85" w:rsidRDefault="00444E85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444E85" w:rsidRDefault="00444E85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444E85" w:rsidRDefault="00444E85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444E85" w:rsidRDefault="00444E85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444E85" w:rsidRDefault="00444E85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444E85" w:rsidRDefault="00207DF7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Нижний Новгород</w:t>
      </w:r>
    </w:p>
    <w:p w:rsidR="00444E85" w:rsidRDefault="00207DF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202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</w:p>
    <w:p w:rsidR="00FC6551" w:rsidRDefault="00FC655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C6551" w:rsidRDefault="00FC6551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444E85" w:rsidRDefault="00207DF7">
      <w:pPr>
        <w:numPr>
          <w:ilvl w:val="0"/>
          <w:numId w:val="1"/>
        </w:num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Введение</w:t>
      </w:r>
    </w:p>
    <w:p w:rsidR="00444E85" w:rsidRDefault="00444E85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444E85" w:rsidRDefault="00207DF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исследование квазипериодических замираний сигналов ДКМ диапазона на трассе Москва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Н.Новгород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44E85" w:rsidRDefault="00207DF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Приборы и оборудование</w:t>
      </w:r>
      <w:r>
        <w:rPr>
          <w:rFonts w:ascii="Times New Roman" w:eastAsia="Times New Roman" w:hAnsi="Times New Roman" w:cs="Times New Roman"/>
          <w:sz w:val="28"/>
          <w:szCs w:val="28"/>
        </w:rPr>
        <w:t>: радиоприемник Р-250, детектор, громкоговоритель, компьютер.</w:t>
      </w:r>
    </w:p>
    <w:p w:rsidR="00444E85" w:rsidRDefault="00207DF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 установки</w:t>
      </w:r>
    </w:p>
    <w:p w:rsidR="00444E85" w:rsidRDefault="00207DF7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noProof/>
          <w:lang w:eastAsia="ru-RU" w:bidi="ar-SA"/>
        </w:rPr>
        <w:drawing>
          <wp:inline distT="0" distB="0" distL="0" distR="0">
            <wp:extent cx="3619500" cy="1578610"/>
            <wp:effectExtent l="0" t="0" r="0" b="0"/>
            <wp:docPr id="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6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19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E85" w:rsidRDefault="00207DF7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(1) — радиоприемник Р-250, (2) — детектор, (3) —громкоговоритель, (4)—компьютер.</w:t>
      </w:r>
    </w:p>
    <w:p w:rsidR="00444E85" w:rsidRDefault="00444E85">
      <w:pPr>
        <w:spacing w:line="240" w:lineRule="auto"/>
        <w:rPr>
          <w:rFonts w:ascii="Times New Roman" w:eastAsia="Times New Roman" w:hAnsi="Times New Roman" w:cs="Times New Roman"/>
        </w:rPr>
      </w:pPr>
    </w:p>
    <w:p w:rsidR="00444E85" w:rsidRDefault="00207DF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Декаметровые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(ДКМ) радиоволны с частотами от 3 до 30 МГц могут распространяться на большие расстояния путем многократных последовательных отражений от ионосферы и земной поверхности. Это свойство ДКМ радиоволн используется для построения систем дальней радиосвязи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загоризонтной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радиолокации. Однако некоторые особенности распространения ДКМ радиоволн снижают эффективность использования указанного диапазона. К таким особенностям относится многолучевое распространение, сопровождающееся глубокими замираниями сигнала, ограниченность неискаженной полосы передачи и скорости телеграфирования, подверженность влиянию ионосферных возмущений, загруженность частотного канала помехами.</w:t>
      </w:r>
    </w:p>
    <w:p w:rsidR="00444E85" w:rsidRDefault="00444E85">
      <w:pPr>
        <w:rPr>
          <w:rFonts w:ascii="Times New Roman" w:eastAsia="Times New Roman" w:hAnsi="Times New Roman" w:cs="Times New Roman"/>
        </w:rPr>
      </w:pPr>
    </w:p>
    <w:p w:rsidR="00444E85" w:rsidRDefault="00444E85">
      <w:pPr>
        <w:rPr>
          <w:rFonts w:ascii="Times New Roman" w:eastAsia="Times New Roman" w:hAnsi="Times New Roman" w:cs="Times New Roman"/>
        </w:rPr>
      </w:pPr>
    </w:p>
    <w:p w:rsidR="00444E85" w:rsidRDefault="00444E85">
      <w:pPr>
        <w:rPr>
          <w:rFonts w:ascii="Times New Roman" w:eastAsia="Times New Roman" w:hAnsi="Times New Roman" w:cs="Times New Roman"/>
        </w:rPr>
      </w:pPr>
    </w:p>
    <w:p w:rsidR="00444E85" w:rsidRDefault="00444E85">
      <w:pPr>
        <w:rPr>
          <w:rFonts w:ascii="Times New Roman" w:eastAsia="Times New Roman" w:hAnsi="Times New Roman" w:cs="Times New Roman"/>
        </w:rPr>
      </w:pPr>
    </w:p>
    <w:p w:rsidR="00444E85" w:rsidRDefault="00444E85">
      <w:pPr>
        <w:rPr>
          <w:rFonts w:ascii="Times New Roman" w:eastAsia="Times New Roman" w:hAnsi="Times New Roman" w:cs="Times New Roman"/>
        </w:rPr>
      </w:pPr>
    </w:p>
    <w:p w:rsidR="00444E85" w:rsidRDefault="00444E85">
      <w:pPr>
        <w:rPr>
          <w:rFonts w:ascii="Times New Roman" w:eastAsia="Times New Roman" w:hAnsi="Times New Roman" w:cs="Times New Roman"/>
        </w:rPr>
      </w:pPr>
    </w:p>
    <w:p w:rsidR="00444E85" w:rsidRDefault="00444E85">
      <w:pPr>
        <w:rPr>
          <w:rFonts w:ascii="Times New Roman" w:eastAsia="Times New Roman" w:hAnsi="Times New Roman" w:cs="Times New Roman"/>
        </w:rPr>
      </w:pPr>
    </w:p>
    <w:p w:rsidR="00444E85" w:rsidRDefault="00444E85">
      <w:pPr>
        <w:rPr>
          <w:rFonts w:ascii="Times New Roman" w:eastAsia="Times New Roman" w:hAnsi="Times New Roman" w:cs="Times New Roman"/>
        </w:rPr>
      </w:pPr>
    </w:p>
    <w:p w:rsidR="00444E85" w:rsidRDefault="00444E85">
      <w:pPr>
        <w:rPr>
          <w:rFonts w:ascii="Times New Roman" w:eastAsia="Times New Roman" w:hAnsi="Times New Roman" w:cs="Times New Roman"/>
        </w:rPr>
      </w:pPr>
    </w:p>
    <w:p w:rsidR="00444E85" w:rsidRDefault="00444E85">
      <w:pPr>
        <w:rPr>
          <w:rFonts w:ascii="Times New Roman" w:eastAsia="Times New Roman" w:hAnsi="Times New Roman" w:cs="Times New Roman"/>
        </w:rPr>
      </w:pPr>
    </w:p>
    <w:p w:rsidR="00444E85" w:rsidRDefault="00207DF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2.Теоретическая часть</w:t>
      </w:r>
    </w:p>
    <w:p w:rsidR="00444E85" w:rsidRDefault="00444E85">
      <w:pPr>
        <w:tabs>
          <w:tab w:val="left" w:pos="3330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444E85" w:rsidRDefault="00207DF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Ионосфера - это часть верхней атмосферы, где плотность свободных электронов достаточна, чтобы оказывать значительное влияние на распространение радиоволн. Ионосферная плазма находится в геомагнитном поле. Магнитоактивная плазма является анизотропной средой, т.е. ее свойства (например, проводимость) зависят от направления по отношению к вектору магнитной индукции внешнего магнитного поля. Кроме того, концентрация заряженных и нейтральных частиц, частоты соударений одних частиц с другими, температуры отдельных компонент плазмы (электронов, ионов, нейтральных частиц) зависят от координат, прежде всего, от высоты над поверхностью Земли. Таким образом, ионосферная плазма является неоднородной анизотропной средой.</w:t>
      </w:r>
    </w:p>
    <w:p w:rsidR="00444E85" w:rsidRDefault="00207DF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диапазоне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декаметровых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радиоволн, особенно в его высокочастотной части, выполняется условие </w:t>
      </w:r>
      <w:r>
        <w:rPr>
          <w:noProof/>
          <w:lang w:eastAsia="ru-RU" w:bidi="ar-SA"/>
        </w:rPr>
        <w:drawing>
          <wp:inline distT="0" distB="0" distL="0" distR="0">
            <wp:extent cx="648335" cy="244475"/>
            <wp:effectExtent l="0" t="0" r="0" b="0"/>
            <wp:docPr id="2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где ω – циклическая частота, </w:t>
      </w:r>
      <w:r>
        <w:rPr>
          <w:noProof/>
          <w:lang w:eastAsia="ru-RU" w:bidi="ar-SA"/>
        </w:rPr>
        <w:drawing>
          <wp:inline distT="0" distB="0" distL="0" distR="0">
            <wp:extent cx="1105535" cy="244475"/>
            <wp:effectExtent l="0" t="0" r="0" b="0"/>
            <wp:docPr id="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535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гирочастота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электронов (</w:t>
      </w:r>
      <w:r>
        <w:rPr>
          <w:noProof/>
          <w:lang w:eastAsia="ru-RU" w:bidi="ar-SA"/>
        </w:rPr>
        <w:drawing>
          <wp:inline distT="0" distB="0" distL="0" distR="0">
            <wp:extent cx="127635" cy="148590"/>
            <wp:effectExtent l="0" t="0" r="0" b="0"/>
            <wp:docPr id="4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noProof/>
          <w:lang w:eastAsia="ru-RU" w:bidi="ar-SA"/>
        </w:rPr>
        <w:drawing>
          <wp:inline distT="0" distB="0" distL="0" distR="0">
            <wp:extent cx="180975" cy="148590"/>
            <wp:effectExtent l="0" t="0" r="0" b="0"/>
            <wp:docPr id="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заряд и масса электрона,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величина постоянно магнитного поля). В связи с этим в некоторых случаях при анализе условий распространения радиоволн можно пренебречь влиянием геомагнитного поля, считая плазму изотропной, свойства которой определяются комплексной диэлектрической проницаемостью </w:t>
      </w:r>
    </w:p>
    <w:p w:rsidR="00444E85" w:rsidRDefault="00207DF7">
      <w:pPr>
        <w:tabs>
          <w:tab w:val="center" w:pos="4680"/>
          <w:tab w:val="right" w:pos="9360"/>
        </w:tabs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noProof/>
          <w:lang w:eastAsia="ru-RU" w:bidi="ar-SA"/>
        </w:rPr>
        <w:drawing>
          <wp:inline distT="0" distB="0" distL="0" distR="0">
            <wp:extent cx="1158875" cy="467995"/>
            <wp:effectExtent l="0" t="0" r="0" b="0"/>
            <wp:docPr id="6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875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444E85" w:rsidRDefault="00207DF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r>
        <w:rPr>
          <w:noProof/>
          <w:lang w:eastAsia="ru-RU" w:bidi="ar-SA"/>
        </w:rPr>
        <w:drawing>
          <wp:inline distT="0" distB="0" distL="0" distR="0">
            <wp:extent cx="1243965" cy="297815"/>
            <wp:effectExtent l="0" t="0" r="0" b="0"/>
            <wp:docPr id="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965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квадрат плазменной частоты, </w:t>
      </w:r>
      <w:r>
        <w:rPr>
          <w:noProof/>
          <w:lang w:eastAsia="ru-RU" w:bidi="ar-SA"/>
        </w:rPr>
        <w:drawing>
          <wp:inline distT="0" distB="0" distL="0" distR="0">
            <wp:extent cx="233680" cy="244475"/>
            <wp:effectExtent l="0" t="0" r="0" b="0"/>
            <wp:docPr id="8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концентрация электронов в плазме, </w:t>
      </w:r>
      <w:r>
        <w:rPr>
          <w:noProof/>
          <w:lang w:eastAsia="ru-RU" w:bidi="ar-SA"/>
        </w:rPr>
        <w:drawing>
          <wp:inline distT="0" distB="0" distL="0" distR="0">
            <wp:extent cx="1105535" cy="244475"/>
            <wp:effectExtent l="0" t="0" r="0" b="0"/>
            <wp:docPr id="9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535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гирочастота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электронов, </w:t>
      </w:r>
      <w:r>
        <w:rPr>
          <w:noProof/>
          <w:lang w:eastAsia="ru-RU" w:bidi="ar-SA"/>
        </w:rPr>
        <w:drawing>
          <wp:inline distT="0" distB="0" distL="0" distR="0">
            <wp:extent cx="180975" cy="244475"/>
            <wp:effectExtent l="0" t="0" r="0" b="0"/>
            <wp:docPr id="10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эффективная частота соударений электронов с другими частицами. При этом показатель преломления электромагнитных волн в изотропной плазме определяется выражением </w:t>
      </w:r>
    </w:p>
    <w:p w:rsidR="00444E85" w:rsidRDefault="00207DF7">
      <w:pPr>
        <w:tabs>
          <w:tab w:val="center" w:pos="4680"/>
          <w:tab w:val="right" w:pos="9360"/>
        </w:tabs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noProof/>
          <w:lang w:eastAsia="ru-RU" w:bidi="ar-SA"/>
        </w:rPr>
        <w:drawing>
          <wp:inline distT="0" distB="0" distL="0" distR="0">
            <wp:extent cx="1201420" cy="467995"/>
            <wp:effectExtent l="0" t="0" r="0" b="0"/>
            <wp:docPr id="1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142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444E85" w:rsidRDefault="00207DF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анализе условий распространения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декаметровых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волн на расстояния до 1000 км можно использовать модель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плоско-слоистой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ионосферы. Рассмотрим падение плоской электромагнитной волны на слоисто-неоднородную изотропную плазму под углом </w:t>
      </w:r>
      <w:r>
        <w:rPr>
          <w:noProof/>
          <w:lang w:eastAsia="ru-RU" w:bidi="ar-SA"/>
        </w:rPr>
        <w:drawing>
          <wp:inline distT="0" distB="0" distL="0" distR="0">
            <wp:extent cx="191135" cy="244475"/>
            <wp:effectExtent l="0" t="0" r="0" b="0"/>
            <wp:docPr id="12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 вертикали. Введем декартову систему координат, с осью </w:t>
      </w:r>
      <w:r>
        <w:rPr>
          <w:noProof/>
          <w:lang w:eastAsia="ru-RU" w:bidi="ar-SA"/>
        </w:rPr>
        <w:drawing>
          <wp:inline distT="0" distB="0" distL="0" distR="0">
            <wp:extent cx="127635" cy="138430"/>
            <wp:effectExtent l="0" t="0" r="0" b="0"/>
            <wp:docPr id="13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8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" cy="13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направленной вертикально вверх. Ограничимся рассмотрением ТЕ-волны, вектор напряженности электрического поля которой имеет одну отличную от нуля компоненту </w:t>
      </w:r>
      <w:r>
        <w:rPr>
          <w:noProof/>
          <w:lang w:eastAsia="ru-RU" w:bidi="ar-SA"/>
        </w:rPr>
        <w:drawing>
          <wp:inline distT="0" distB="0" distL="0" distR="0">
            <wp:extent cx="233680" cy="266065"/>
            <wp:effectExtent l="0" t="0" r="0" b="0"/>
            <wp:docPr id="14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E85" w:rsidRDefault="00207DF7">
      <w:pPr>
        <w:tabs>
          <w:tab w:val="center" w:pos="4680"/>
          <w:tab w:val="right" w:pos="9360"/>
        </w:tabs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noProof/>
          <w:lang w:eastAsia="ru-RU" w:bidi="ar-SA"/>
        </w:rPr>
        <w:drawing>
          <wp:inline distT="0" distB="0" distL="0" distR="0">
            <wp:extent cx="2658110" cy="318770"/>
            <wp:effectExtent l="0" t="0" r="0" b="0"/>
            <wp:docPr id="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BD47D4" w:rsidRDefault="00207DF7" w:rsidP="00BD47D4">
      <w:pPr>
        <w:tabs>
          <w:tab w:val="center" w:pos="4680"/>
          <w:tab w:val="right" w:pos="9360"/>
        </w:tabs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noProof/>
          <w:lang w:eastAsia="ru-RU" w:bidi="ar-SA"/>
        </w:rPr>
        <w:drawing>
          <wp:inline distT="0" distB="0" distL="0" distR="0">
            <wp:extent cx="1743710" cy="244475"/>
            <wp:effectExtent l="0" t="0" r="0" b="0"/>
            <wp:docPr id="16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444E85" w:rsidRDefault="00207DF7" w:rsidP="00BD47D4">
      <w:pPr>
        <w:tabs>
          <w:tab w:val="center" w:pos="4680"/>
          <w:tab w:val="right" w:pos="9360"/>
        </w:tabs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Предположим, что радиоволны, излучаемые передающей антенной, расположенной в точке А на поверхности Земли, приходят в точку приема В двумя путями (рис. 4). Амплитуда суммарного сигнала в точке В зависит от амплитуд и разности фаз </w:t>
      </w:r>
      <w:r>
        <w:rPr>
          <w:noProof/>
          <w:lang w:eastAsia="ru-RU" w:bidi="ar-SA"/>
        </w:rPr>
        <w:drawing>
          <wp:inline distT="0" distB="0" distL="0" distR="0">
            <wp:extent cx="914400" cy="244475"/>
            <wp:effectExtent l="0" t="0" r="0" b="0"/>
            <wp:docPr id="3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указанных двух волн. Формулы для фаз </w:t>
      </w:r>
      <w:r>
        <w:rPr>
          <w:noProof/>
          <w:lang w:eastAsia="ru-RU" w:bidi="ar-SA"/>
        </w:rPr>
        <w:drawing>
          <wp:inline distT="0" distB="0" distL="0" distR="0">
            <wp:extent cx="180975" cy="244475"/>
            <wp:effectExtent l="0" t="0" r="0" b="0"/>
            <wp:docPr id="40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68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noProof/>
          <w:lang w:eastAsia="ru-RU" w:bidi="ar-SA"/>
        </w:rPr>
        <w:drawing>
          <wp:inline distT="0" distB="0" distL="0" distR="0">
            <wp:extent cx="201930" cy="244475"/>
            <wp:effectExtent l="0" t="0" r="0" b="0"/>
            <wp:docPr id="4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могут быть представлены в виде</w:t>
      </w:r>
    </w:p>
    <w:p w:rsidR="00444E85" w:rsidRDefault="00207DF7">
      <w:pPr>
        <w:tabs>
          <w:tab w:val="center" w:pos="4680"/>
          <w:tab w:val="right" w:pos="9360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noProof/>
          <w:lang w:eastAsia="ru-RU" w:bidi="ar-SA"/>
        </w:rPr>
        <w:drawing>
          <wp:inline distT="0" distB="0" distL="0" distR="0">
            <wp:extent cx="3700145" cy="542290"/>
            <wp:effectExtent l="0" t="0" r="0" b="0"/>
            <wp:docPr id="42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444E85" w:rsidRDefault="00207DF7">
      <w:pPr>
        <w:tabs>
          <w:tab w:val="center" w:pos="4680"/>
          <w:tab w:val="right" w:pos="9360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noProof/>
          <w:lang w:eastAsia="ru-RU" w:bidi="ar-SA"/>
        </w:rPr>
        <w:drawing>
          <wp:inline distT="0" distB="0" distL="0" distR="0">
            <wp:extent cx="3774440" cy="542290"/>
            <wp:effectExtent l="0" t="0" r="0" b="0"/>
            <wp:docPr id="43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66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444E85" w:rsidRDefault="00207DF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Здесь </w:t>
      </w:r>
      <w:r>
        <w:rPr>
          <w:noProof/>
          <w:lang w:eastAsia="ru-RU" w:bidi="ar-SA"/>
        </w:rPr>
        <w:drawing>
          <wp:inline distT="0" distB="0" distL="0" distR="0">
            <wp:extent cx="191135" cy="180975"/>
            <wp:effectExtent l="0" t="0" r="0" b="0"/>
            <wp:docPr id="44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расстояние между передающей и приемной антеннами, измеряемое вдоль земной поверхности, </w:t>
      </w:r>
      <w:r>
        <w:rPr>
          <w:noProof/>
          <w:lang w:eastAsia="ru-RU" w:bidi="ar-SA"/>
        </w:rPr>
        <w:drawing>
          <wp:inline distT="0" distB="0" distL="0" distR="0">
            <wp:extent cx="180975" cy="244475"/>
            <wp:effectExtent l="0" t="0" r="0" b="0"/>
            <wp:docPr id="45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6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noProof/>
          <w:lang w:eastAsia="ru-RU" w:bidi="ar-SA"/>
        </w:rPr>
        <w:drawing>
          <wp:inline distT="0" distB="0" distL="0" distR="0">
            <wp:extent cx="191135" cy="244475"/>
            <wp:effectExtent l="0" t="0" r="0" b="0"/>
            <wp:docPr id="46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углы падения волн на ионосферу. </w:t>
      </w:r>
    </w:p>
    <w:p w:rsidR="00444E85" w:rsidRDefault="00207DF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Проведем вычисления для модели ионосферы с линейной зависимостью концентрации электронов от высоты </w:t>
      </w:r>
    </w:p>
    <w:p w:rsidR="00444E85" w:rsidRDefault="00207DF7">
      <w:pPr>
        <w:tabs>
          <w:tab w:val="center" w:pos="4680"/>
          <w:tab w:val="right" w:pos="9360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noProof/>
          <w:lang w:eastAsia="ru-RU" w:bidi="ar-SA"/>
        </w:rPr>
        <w:drawing>
          <wp:inline distT="0" distB="0" distL="0" distR="0">
            <wp:extent cx="1308100" cy="446405"/>
            <wp:effectExtent l="0" t="0" r="0" b="0"/>
            <wp:docPr id="4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54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444E85" w:rsidRDefault="00207DF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r>
        <w:rPr>
          <w:noProof/>
          <w:lang w:eastAsia="ru-RU" w:bidi="ar-SA"/>
        </w:rPr>
        <w:drawing>
          <wp:inline distT="0" distB="0" distL="0" distR="0">
            <wp:extent cx="148590" cy="180975"/>
            <wp:effectExtent l="0" t="0" r="0" b="0"/>
            <wp:docPr id="48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6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характерный масштаб изменения электронной концентрации с высотой, </w:t>
      </w:r>
      <w:r>
        <w:rPr>
          <w:noProof/>
          <w:lang w:eastAsia="ru-RU" w:bidi="ar-SA"/>
        </w:rPr>
        <w:drawing>
          <wp:inline distT="0" distB="0" distL="0" distR="0">
            <wp:extent cx="893445" cy="266065"/>
            <wp:effectExtent l="0" t="0" r="0" b="0"/>
            <wp:docPr id="4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1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. В рамках этой модели выражение для вертикальной составляющей вектора волновой нормали удобно представить в виде (17)</w:t>
      </w:r>
    </w:p>
    <w:p w:rsidR="00444E85" w:rsidRDefault="00207DF7">
      <w:pPr>
        <w:tabs>
          <w:tab w:val="center" w:pos="4680"/>
          <w:tab w:val="right" w:pos="9360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noProof/>
          <w:lang w:eastAsia="ru-RU" w:bidi="ar-SA"/>
        </w:rPr>
        <w:drawing>
          <wp:inline distT="0" distB="0" distL="0" distR="0">
            <wp:extent cx="2041525" cy="329565"/>
            <wp:effectExtent l="0" t="0" r="0" b="0"/>
            <wp:docPr id="50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3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444E85" w:rsidRDefault="00207DF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r>
        <w:rPr>
          <w:noProof/>
          <w:lang w:eastAsia="ru-RU" w:bidi="ar-SA"/>
        </w:rPr>
        <w:drawing>
          <wp:inline distT="0" distB="0" distL="0" distR="0">
            <wp:extent cx="1308100" cy="287020"/>
            <wp:effectExtent l="0" t="0" r="0" b="0"/>
            <wp:docPr id="5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67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444E85" w:rsidRDefault="00207DF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Интегрируя (14) и (15) с учетом (17), получаем</w:t>
      </w:r>
    </w:p>
    <w:p w:rsidR="00BD47D4" w:rsidRDefault="00207DF7" w:rsidP="00BD47D4">
      <w:pPr>
        <w:tabs>
          <w:tab w:val="center" w:pos="4680"/>
          <w:tab w:val="right" w:pos="9360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noProof/>
          <w:lang w:eastAsia="ru-RU" w:bidi="ar-SA"/>
        </w:rPr>
        <w:drawing>
          <wp:inline distT="0" distB="0" distL="0" distR="0">
            <wp:extent cx="4189095" cy="457200"/>
            <wp:effectExtent l="0" t="0" r="0" b="0"/>
            <wp:docPr id="52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7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9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</w:p>
    <w:p w:rsidR="00444E85" w:rsidRDefault="00BD47D4" w:rsidP="00BD47D4">
      <w:pPr>
        <w:tabs>
          <w:tab w:val="center" w:pos="4680"/>
          <w:tab w:val="right" w:pos="9360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207DF7">
        <w:rPr>
          <w:rFonts w:ascii="Times New Roman" w:eastAsia="Times New Roman" w:hAnsi="Times New Roman" w:cs="Times New Roman"/>
          <w:sz w:val="28"/>
          <w:szCs w:val="28"/>
        </w:rPr>
        <w:t xml:space="preserve">ри вычислении производной в (20) необходимо учесть, что углы </w:t>
      </w:r>
      <w:r w:rsidR="00207DF7">
        <w:rPr>
          <w:noProof/>
          <w:lang w:eastAsia="ru-RU" w:bidi="ar-SA"/>
        </w:rPr>
        <w:drawing>
          <wp:inline distT="0" distB="0" distL="0" distR="0">
            <wp:extent cx="180975" cy="244475"/>
            <wp:effectExtent l="0" t="0" r="0" b="0"/>
            <wp:docPr id="5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DF7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207DF7">
        <w:rPr>
          <w:noProof/>
          <w:lang w:eastAsia="ru-RU" w:bidi="ar-SA"/>
        </w:rPr>
        <w:drawing>
          <wp:inline distT="0" distB="0" distL="0" distR="0">
            <wp:extent cx="191135" cy="244475"/>
            <wp:effectExtent l="0" t="0" r="0" b="0"/>
            <wp:docPr id="58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DF7">
        <w:rPr>
          <w:rFonts w:ascii="Times New Roman" w:eastAsia="Times New Roman" w:hAnsi="Times New Roman" w:cs="Times New Roman"/>
          <w:sz w:val="28"/>
          <w:szCs w:val="28"/>
        </w:rPr>
        <w:t xml:space="preserve"> при фиксированном расстоянии между передающей и приемной антеннами </w:t>
      </w:r>
      <w:r w:rsidR="00207DF7">
        <w:rPr>
          <w:noProof/>
          <w:lang w:eastAsia="ru-RU" w:bidi="ar-SA"/>
        </w:rPr>
        <w:drawing>
          <wp:inline distT="0" distB="0" distL="0" distR="0">
            <wp:extent cx="170180" cy="170180"/>
            <wp:effectExtent l="0" t="0" r="0" b="0"/>
            <wp:docPr id="5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29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DF7">
        <w:rPr>
          <w:rFonts w:ascii="Times New Roman" w:eastAsia="Times New Roman" w:hAnsi="Times New Roman" w:cs="Times New Roman"/>
          <w:sz w:val="28"/>
          <w:szCs w:val="28"/>
        </w:rPr>
        <w:t xml:space="preserve"> зависят от высоты нижней границы ионосферы </w:t>
      </w:r>
      <w:r w:rsidR="00207DF7">
        <w:rPr>
          <w:noProof/>
          <w:lang w:eastAsia="ru-RU" w:bidi="ar-SA"/>
        </w:rPr>
        <w:drawing>
          <wp:inline distT="0" distB="0" distL="0" distR="0">
            <wp:extent cx="138430" cy="191135"/>
            <wp:effectExtent l="0" t="0" r="0" b="0"/>
            <wp:docPr id="60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2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DF7">
        <w:rPr>
          <w:rFonts w:ascii="Times New Roman" w:eastAsia="Times New Roman" w:hAnsi="Times New Roman" w:cs="Times New Roman"/>
          <w:sz w:val="28"/>
          <w:szCs w:val="28"/>
        </w:rPr>
        <w:t xml:space="preserve">. Зависимости </w:t>
      </w:r>
      <w:r w:rsidR="00207DF7">
        <w:rPr>
          <w:noProof/>
          <w:lang w:eastAsia="ru-RU" w:bidi="ar-SA"/>
        </w:rPr>
        <w:drawing>
          <wp:inline distT="0" distB="0" distL="0" distR="0">
            <wp:extent cx="436245" cy="266065"/>
            <wp:effectExtent l="0" t="0" r="0" b="0"/>
            <wp:docPr id="6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2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DF7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207DF7">
        <w:rPr>
          <w:noProof/>
          <w:lang w:eastAsia="ru-RU" w:bidi="ar-SA"/>
        </w:rPr>
        <w:drawing>
          <wp:inline distT="0" distB="0" distL="0" distR="0">
            <wp:extent cx="457200" cy="266065"/>
            <wp:effectExtent l="0" t="0" r="0" b="0"/>
            <wp:docPr id="62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1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DF7">
        <w:rPr>
          <w:rFonts w:ascii="Times New Roman" w:eastAsia="Times New Roman" w:hAnsi="Times New Roman" w:cs="Times New Roman"/>
          <w:sz w:val="28"/>
          <w:szCs w:val="28"/>
        </w:rPr>
        <w:t xml:space="preserve"> могут быть найдены лишь численными методами из условий </w:t>
      </w:r>
    </w:p>
    <w:p w:rsidR="00444E85" w:rsidRDefault="00207DF7">
      <w:pPr>
        <w:tabs>
          <w:tab w:val="center" w:pos="4680"/>
          <w:tab w:val="right" w:pos="9360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noProof/>
          <w:lang w:eastAsia="ru-RU" w:bidi="ar-SA"/>
        </w:rPr>
        <w:drawing>
          <wp:inline distT="0" distB="0" distL="0" distR="0">
            <wp:extent cx="2030730" cy="244475"/>
            <wp:effectExtent l="0" t="0" r="0" b="0"/>
            <wp:docPr id="6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2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73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</w:p>
    <w:p w:rsidR="00444E85" w:rsidRDefault="00207DF7">
      <w:pPr>
        <w:tabs>
          <w:tab w:val="center" w:pos="4680"/>
          <w:tab w:val="right" w:pos="9360"/>
        </w:tabs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noProof/>
          <w:lang w:eastAsia="ru-RU" w:bidi="ar-SA"/>
        </w:rPr>
        <w:drawing>
          <wp:inline distT="0" distB="0" distL="0" distR="0">
            <wp:extent cx="2062480" cy="244475"/>
            <wp:effectExtent l="0" t="0" r="0" b="0"/>
            <wp:docPr id="64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9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48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444E85" w:rsidRDefault="00444E85">
      <w:pPr>
        <w:tabs>
          <w:tab w:val="left" w:pos="3330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444E85" w:rsidRDefault="00207DF7" w:rsidP="00BD47D4">
      <w:pPr>
        <w:tabs>
          <w:tab w:val="left" w:pos="333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3. Практическая часть</w:t>
      </w:r>
    </w:p>
    <w:p w:rsidR="00444E85" w:rsidRDefault="00207DF7">
      <w:pPr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В процессе выполнения работы было проведено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наблюдение  немодулированного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сигнал на трассе Москва – Нижний Новгород. По результатам измерений характеристик регистрируемого сигнала и их обработке был выделен фрагмент сигнала с замираниями. Для указанного фрагмента построены зависимость амплитуды сигнала от времени, автокорреляционная функция и спектральная плотность, представленные на рис. 3.1 – 3.4 соответственно. </w:t>
      </w:r>
    </w:p>
    <w:p w:rsidR="00444E85" w:rsidRDefault="00207DF7">
      <w:pPr>
        <w:ind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>
            <wp:extent cx="4943475" cy="3954780"/>
            <wp:effectExtent l="0" t="0" r="9525" b="7620"/>
            <wp:docPr id="6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9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E85" w:rsidRDefault="00207DF7">
      <w:pPr>
        <w:ind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3.1. Зависимость амплитуды от времени</w:t>
      </w:r>
    </w:p>
    <w:p w:rsidR="00444E85" w:rsidRDefault="00207DF7">
      <w:pPr>
        <w:ind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4547870" cy="3638296"/>
            <wp:effectExtent l="0" t="0" r="5080" b="635"/>
            <wp:docPr id="66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2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931" cy="364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E85" w:rsidRDefault="00207DF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3.2. Зависимость амплитуды от времени</w:t>
      </w:r>
    </w:p>
    <w:p w:rsidR="00444E85" w:rsidRDefault="002672A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4296623" cy="3190875"/>
            <wp:effectExtent l="0" t="0" r="889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993" cy="321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E85" w:rsidRDefault="00352EA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3D640317" wp14:editId="2081384C">
            <wp:extent cx="4572000" cy="2743200"/>
            <wp:effectExtent l="0" t="0" r="0" b="0"/>
            <wp:docPr id="18" name="Диаграмма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:rsidR="00444E85" w:rsidRDefault="00444E8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44E85" w:rsidRDefault="00207DF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3.3. и 3.4 Фурье преобразования промежутка замирания.</w:t>
      </w:r>
    </w:p>
    <w:p w:rsidR="00352EA8" w:rsidRPr="00352EA8" w:rsidRDefault="00352EA8" w:rsidP="00352EA8">
      <w:pPr>
        <w:rPr>
          <w:rFonts w:ascii="Times New Roman" w:eastAsia="Times New Roman" w:hAnsi="Times New Roman" w:cs="Times New Roman"/>
          <w:sz w:val="28"/>
          <w:szCs w:val="28"/>
        </w:rPr>
      </w:pPr>
      <w:r w:rsidRPr="00352EA8">
        <w:rPr>
          <w:rFonts w:ascii="Times New Roman" w:eastAsia="Times New Roman" w:hAnsi="Times New Roman" w:cs="Times New Roman"/>
          <w:sz w:val="28"/>
          <w:szCs w:val="28"/>
        </w:rPr>
        <w:t>По полученной спектральной плотнос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ть мощности определяем </w:t>
      </w:r>
      <w:r w:rsidRPr="00352EA8">
        <w:rPr>
          <w:rFonts w:ascii="Times New Roman" w:eastAsia="Times New Roman" w:hAnsi="Times New Roman" w:cs="Times New Roman"/>
          <w:sz w:val="28"/>
          <w:szCs w:val="28"/>
        </w:rPr>
        <w:t>частоты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52EA8">
        <w:rPr>
          <w:rFonts w:ascii="Times New Roman" w:eastAsia="Times New Roman" w:hAnsi="Times New Roman" w:cs="Times New Roman"/>
          <w:sz w:val="28"/>
          <w:szCs w:val="28"/>
        </w:rPr>
        <w:t>«боковых» максимумов, соответствующие характерным частотам замирания сигнала: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ω 1 ≈ 0.3</w:t>
      </w:r>
      <w:r w:rsidRPr="00352EA8">
        <w:rPr>
          <w:rFonts w:ascii="Times New Roman" w:eastAsia="Times New Roman" w:hAnsi="Times New Roman" w:cs="Times New Roman"/>
          <w:sz w:val="28"/>
          <w:szCs w:val="28"/>
        </w:rPr>
        <w:t xml:space="preserve"> рад/c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352EA8">
        <w:rPr>
          <w:rFonts w:ascii="Times New Roman" w:eastAsia="Times New Roman" w:hAnsi="Times New Roman" w:cs="Times New Roman"/>
          <w:sz w:val="28"/>
          <w:szCs w:val="28"/>
        </w:rPr>
        <w:t xml:space="preserve"> ω 2 ≈ </w:t>
      </w:r>
      <w:r>
        <w:rPr>
          <w:rFonts w:ascii="Times New Roman" w:eastAsia="Times New Roman" w:hAnsi="Times New Roman" w:cs="Times New Roman"/>
          <w:sz w:val="28"/>
          <w:szCs w:val="28"/>
        </w:rPr>
        <w:t>0,7</w:t>
      </w:r>
      <w:r w:rsidRPr="00352EA8">
        <w:rPr>
          <w:rFonts w:ascii="Times New Roman" w:eastAsia="Times New Roman" w:hAnsi="Times New Roman" w:cs="Times New Roman"/>
          <w:sz w:val="28"/>
          <w:szCs w:val="28"/>
        </w:rPr>
        <w:t xml:space="preserve"> рад/c. Также получаем значения периодов замираний:</w:t>
      </w:r>
    </w:p>
    <w:p w:rsidR="00444E85" w:rsidRPr="00352EA8" w:rsidRDefault="00207DF7">
      <w:pPr>
        <w:spacing w:line="240" w:lineRule="auto"/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2π</m:t>
              </m:r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2π</m:t>
              </m:r>
            </m:num>
            <m:den>
              <m:r>
                <w:rPr>
                  <w:rFonts w:ascii="Cambria Math" w:hAnsi="Cambria Math"/>
                </w:rPr>
                <m:t>0.3</m:t>
              </m:r>
            </m:den>
          </m:f>
          <m:r>
            <w:rPr>
              <w:rFonts w:ascii="Cambria Math" w:hAnsi="Cambria Math"/>
            </w:rPr>
            <m:t>≈</m:t>
          </m:r>
          <m:r>
            <w:rPr>
              <w:rFonts w:ascii="Cambria Math" w:hAnsi="Cambria Math"/>
            </w:rPr>
            <m:t>20,9</m:t>
          </m:r>
          <m:r>
            <w:rPr>
              <w:rFonts w:ascii="Cambria Math" w:hAnsi="Cambria Math"/>
            </w:rPr>
            <m:t>с</m:t>
          </m:r>
        </m:oMath>
      </m:oMathPara>
    </w:p>
    <w:p w:rsidR="00352EA8" w:rsidRDefault="00352EA8" w:rsidP="00352EA8">
      <w:pPr>
        <w:spacing w:line="240" w:lineRule="auto"/>
        <w:rPr>
          <w:rFonts w:ascii="Cambria Math" w:eastAsia="Cambria Math" w:hAnsi="Cambria Math" w:cs="Cambria Math"/>
          <w:sz w:val="28"/>
          <w:szCs w:val="28"/>
        </w:rPr>
      </w:pPr>
      <m:oMathPara>
        <m:oMath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2π</m:t>
              </m:r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2π</m:t>
              </m:r>
            </m:num>
            <m:den>
              <m:r>
                <w:rPr>
                  <w:rFonts w:ascii="Cambria Math" w:hAnsi="Cambria Math"/>
                </w:rPr>
                <m:t>0.</m:t>
              </m:r>
              <m:r>
                <w:rPr>
                  <w:rFonts w:ascii="Cambria Math" w:hAnsi="Cambria Math"/>
                </w:rPr>
                <m:t>7</m:t>
              </m:r>
            </m:den>
          </m:f>
          <m:r>
            <w:rPr>
              <w:rFonts w:ascii="Cambria Math" w:hAnsi="Cambria Math"/>
            </w:rPr>
            <m:t>≈9с</m:t>
          </m:r>
        </m:oMath>
      </m:oMathPara>
    </w:p>
    <w:p w:rsidR="00444E85" w:rsidRDefault="00207DF7">
      <w:pPr>
        <w:spacing w:line="24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Используя уравнения </w:t>
      </w:r>
    </w:p>
    <w:p w:rsidR="00444E85" w:rsidRDefault="00207DF7">
      <w:pPr>
        <w:spacing w:line="240" w:lineRule="auto"/>
        <w:rPr>
          <w:rFonts w:ascii="Cambria Math" w:eastAsia="Cambria Math" w:hAnsi="Cambria Math" w:cs="Cambria Math"/>
          <w:sz w:val="28"/>
          <w:szCs w:val="28"/>
        </w:rPr>
      </w:pPr>
      <m:oMathPara>
        <m:oMath>
          <m:r>
            <w:rPr>
              <w:rFonts w:ascii="Cambria Math" w:hAnsi="Cambria Math"/>
            </w:rPr>
            <m:t>h⋅tg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+L⋅sin2</m:t>
          </m:r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α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h⋅tg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+L⋅sin2</m:t>
          </m:r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α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</m:oMath>
      </m:oMathPara>
    </w:p>
    <w:p w:rsidR="00444E85" w:rsidRDefault="00207DF7">
      <w:pPr>
        <w:spacing w:line="24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определим параметры траектории волн в ионосфере для следующих значений параметров</w:t>
      </w:r>
    </w:p>
    <w:p w:rsidR="00444E85" w:rsidRDefault="00207DF7">
      <w:pPr>
        <w:spacing w:line="240" w:lineRule="auto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r>
            <w:rPr>
              <w:rFonts w:ascii="Cambria Math" w:hAnsi="Cambria Math"/>
            </w:rPr>
            <m:t>h=200км;D=450км;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r>
            <w:rPr>
              <w:rFonts w:ascii="Cambria Math" w:hAnsi="Cambria Math"/>
            </w:rPr>
            <m:t>=0.1с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м</m:t>
              </m:r>
            </m:e>
            <m:sup>
              <m:r>
                <w:rPr>
                  <w:rFonts w:ascii="Cambria Math" w:hAnsi="Cambria Math"/>
                </w:rPr>
                <m:t>-4</m:t>
              </m:r>
            </m:sup>
          </m:sSup>
          <m:r>
            <w:rPr>
              <w:rFonts w:ascii="Cambria Math" w:hAnsi="Cambria Math"/>
            </w:rPr>
            <m:t>;f=10МГц;</m:t>
          </m:r>
        </m:oMath>
      </m:oMathPara>
    </w:p>
    <w:p w:rsidR="00444E85" w:rsidRDefault="00207DF7">
      <w:pPr>
        <w:spacing w:line="24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Тогда:</w:t>
      </w:r>
    </w:p>
    <w:p w:rsidR="00444E85" w:rsidRDefault="009B4F18">
      <w:pPr>
        <w:spacing w:line="240" w:lineRule="auto"/>
        <w:rPr>
          <w:rFonts w:ascii="Cambria Math" w:eastAsia="Cambria Math" w:hAnsi="Cambria Math" w:cs="Cambria Math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30.49</m:t>
              </m:r>
            </m:e>
            <m:sup>
              <m:r>
                <w:rPr>
                  <w:rFonts w:ascii="Cambria Math" w:hAnsi="Cambria Math"/>
                </w:rPr>
                <m:t>∘</m:t>
              </m:r>
            </m:sup>
          </m:sSup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14.67</m:t>
              </m:r>
            </m:e>
            <m:sup>
              <m:r>
                <w:rPr>
                  <w:rFonts w:ascii="Cambria Math" w:hAnsi="Cambria Math"/>
                </w:rPr>
                <m:t>∘</m:t>
              </m:r>
            </m:sup>
          </m:sSup>
        </m:oMath>
      </m:oMathPara>
    </w:p>
    <w:p w:rsidR="00444E85" w:rsidRDefault="00207DF7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Глубину проникновения определяем из условия равенства нулю подкоренного выражения в соотношении (17). При этом получаем </w:t>
      </w:r>
      <w:r>
        <w:rPr>
          <w:noProof/>
          <w:lang w:eastAsia="ru-RU" w:bidi="ar-SA"/>
        </w:rPr>
        <w:drawing>
          <wp:inline distT="0" distB="0" distL="0" distR="0">
            <wp:extent cx="2667000" cy="266700"/>
            <wp:effectExtent l="0" t="0" r="0" b="0"/>
            <wp:docPr id="6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71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4778D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=91 км, </w:t>
      </w:r>
      <m:oMath>
        <m: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>= 115 км.</w:t>
      </w:r>
    </w:p>
    <w:p w:rsidR="00444E85" w:rsidRDefault="00207DF7">
      <w:pPr>
        <w:spacing w:line="240" w:lineRule="auto"/>
        <w:ind w:firstLine="284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Величина горизонтальной проекции: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x1</m:t>
            </m:r>
          </m:sub>
        </m:sSub>
        <m:r>
          <w:rPr>
            <w:rFonts w:ascii="Cambria Math" w:hAnsi="Cambria Math"/>
          </w:rPr>
          <m:t>=sin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≈0.50</m:t>
        </m:r>
      </m:oMath>
    </w:p>
    <w:p w:rsidR="00444E85" w:rsidRDefault="009B4F18">
      <w:pPr>
        <w:spacing w:line="240" w:lineRule="auto"/>
        <w:ind w:firstLine="284"/>
        <w:rPr>
          <w:rFonts w:ascii="Cambria Math" w:eastAsia="Cambria Math" w:hAnsi="Cambria Math" w:cs="Cambria Math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x2</m:t>
              </m:r>
            </m:sub>
          </m:sSub>
          <m:r>
            <w:rPr>
              <w:rFonts w:ascii="Cambria Math" w:hAnsi="Cambria Math"/>
            </w:rPr>
            <m:t>=sin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≈0.25</m:t>
          </m:r>
        </m:oMath>
      </m:oMathPara>
    </w:p>
    <w:p w:rsidR="00444E85" w:rsidRDefault="00444E85">
      <w:pPr>
        <w:spacing w:line="240" w:lineRule="auto"/>
        <w:ind w:firstLine="284"/>
        <w:rPr>
          <w:rFonts w:ascii="Cambria Math" w:eastAsia="Cambria Math" w:hAnsi="Cambria Math" w:cs="Cambria Math"/>
          <w:sz w:val="28"/>
          <w:szCs w:val="28"/>
        </w:rPr>
      </w:pPr>
    </w:p>
    <w:p w:rsidR="00444E85" w:rsidRDefault="00207DF7">
      <w:pPr>
        <w:spacing w:line="24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Формула для ра</w:t>
      </w:r>
      <w:r w:rsidR="0024778D">
        <w:rPr>
          <w:rFonts w:ascii="Times New Roman" w:eastAsia="Times New Roman" w:hAnsi="Times New Roman" w:cs="Times New Roman"/>
          <w:sz w:val="28"/>
          <w:szCs w:val="28"/>
        </w:rPr>
        <w:t>счета производной и её значение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444E85" w:rsidRDefault="00207DF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>
            <wp:extent cx="5316220" cy="967740"/>
            <wp:effectExtent l="0" t="0" r="0" b="0"/>
            <wp:docPr id="70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2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444E85" w:rsidRDefault="00207DF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Здесь  </w:t>
      </w:r>
      <w:r>
        <w:rPr>
          <w:noProof/>
          <w:lang w:eastAsia="ru-RU" w:bidi="ar-SA"/>
        </w:rPr>
        <w:drawing>
          <wp:inline distT="0" distB="0" distL="0" distR="0">
            <wp:extent cx="1913890" cy="436245"/>
            <wp:effectExtent l="0" t="0" r="0" b="0"/>
            <wp:docPr id="7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24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noProof/>
          <w:lang w:eastAsia="ru-RU" w:bidi="ar-SA"/>
        </w:rPr>
        <w:drawing>
          <wp:inline distT="0" distB="0" distL="0" distR="0">
            <wp:extent cx="1967230" cy="436245"/>
            <wp:effectExtent l="0" t="0" r="0" b="0"/>
            <wp:docPr id="72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7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44E85" w:rsidRDefault="00444E8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44E85" w:rsidRDefault="00207DF7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Определяем значение производной для указанных выше значений параметров:</w:t>
      </w:r>
    </w:p>
    <w:p w:rsidR="00444E85" w:rsidRDefault="009B4F18">
      <w:pPr>
        <w:spacing w:line="240" w:lineRule="auto"/>
        <w:rPr>
          <w:rFonts w:ascii="Cambria Math" w:eastAsia="Cambria Math" w:hAnsi="Cambria Math" w:cs="Cambria Math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∂Δϕ</m:t>
              </m:r>
            </m:num>
            <m:den>
              <m:r>
                <w:rPr>
                  <w:rFonts w:ascii="Cambria Math" w:hAnsi="Cambria Math"/>
                </w:rPr>
                <m:t>∂h</m:t>
              </m:r>
            </m:den>
          </m:f>
          <m:r>
            <w:rPr>
              <w:rFonts w:ascii="Cambria Math" w:hAnsi="Cambria Math"/>
            </w:rPr>
            <m:t>≈5.9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х</m:t>
              </m:r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-4</m:t>
              </m:r>
            </m:sup>
          </m:sSup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рад</m:t>
              </m:r>
            </m:num>
            <m:den>
              <m:r>
                <w:rPr>
                  <w:rFonts w:ascii="Cambria Math" w:hAnsi="Cambria Math"/>
                </w:rPr>
                <m:t>см</m:t>
              </m:r>
            </m:den>
          </m:f>
        </m:oMath>
      </m:oMathPara>
    </w:p>
    <w:p w:rsidR="00444E85" w:rsidRDefault="00444E85">
      <w:pPr>
        <w:spacing w:line="240" w:lineRule="auto"/>
        <w:rPr>
          <w:rFonts w:ascii="Cambria Math" w:eastAsia="Cambria Math" w:hAnsi="Cambria Math" w:cs="Cambria Math"/>
          <w:sz w:val="28"/>
          <w:szCs w:val="28"/>
        </w:rPr>
      </w:pPr>
    </w:p>
    <w:p w:rsidR="00444E85" w:rsidRDefault="00207DF7" w:rsidP="00352EA8">
      <w:pPr>
        <w:spacing w:line="24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  </w:t>
      </w:r>
      <w:r w:rsidR="00352EA8">
        <w:rPr>
          <w:rFonts w:ascii="Times New Roman" w:eastAsia="Times New Roman" w:hAnsi="Times New Roman" w:cs="Times New Roman"/>
          <w:sz w:val="28"/>
          <w:szCs w:val="28"/>
        </w:rPr>
        <w:t>Используя формулу (3.7 из методички</w:t>
      </w:r>
      <w:r w:rsidR="00352EA8" w:rsidRPr="00352EA8">
        <w:rPr>
          <w:rFonts w:ascii="Times New Roman" w:eastAsia="Times New Roman" w:hAnsi="Times New Roman" w:cs="Times New Roman"/>
          <w:sz w:val="28"/>
          <w:szCs w:val="28"/>
        </w:rPr>
        <w:t>) и полученные выше</w:t>
      </w:r>
      <w:r w:rsidR="00352EA8">
        <w:rPr>
          <w:rFonts w:ascii="Times New Roman" w:eastAsia="Times New Roman" w:hAnsi="Times New Roman" w:cs="Times New Roman"/>
          <w:sz w:val="28"/>
          <w:szCs w:val="28"/>
        </w:rPr>
        <w:t xml:space="preserve"> значения производной ∂∆ϕ ⁄∂h и </w:t>
      </w:r>
      <w:r w:rsidR="00352EA8" w:rsidRPr="00352EA8">
        <w:rPr>
          <w:rFonts w:ascii="Times New Roman" w:eastAsia="Times New Roman" w:hAnsi="Times New Roman" w:cs="Times New Roman"/>
          <w:sz w:val="28"/>
          <w:szCs w:val="28"/>
        </w:rPr>
        <w:t>характерного периода замираний T</w:t>
      </w:r>
      <w:proofErr w:type="gramStart"/>
      <w:r w:rsidR="00352EA8" w:rsidRPr="00352EA8">
        <w:rPr>
          <w:rFonts w:ascii="Times New Roman" w:eastAsia="Times New Roman" w:hAnsi="Times New Roman" w:cs="Times New Roman"/>
          <w:sz w:val="28"/>
          <w:szCs w:val="28"/>
        </w:rPr>
        <w:t>2 ,</w:t>
      </w:r>
      <w:proofErr w:type="gramEnd"/>
      <w:r w:rsidR="00352EA8" w:rsidRPr="00352EA8">
        <w:rPr>
          <w:rFonts w:ascii="Times New Roman" w:eastAsia="Times New Roman" w:hAnsi="Times New Roman" w:cs="Times New Roman"/>
          <w:sz w:val="28"/>
          <w:szCs w:val="28"/>
        </w:rPr>
        <w:t xml:space="preserve"> определяем значение скорости V перемещения</w:t>
      </w:r>
      <w:r w:rsidR="00352EA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52EA8" w:rsidRPr="00352EA8">
        <w:rPr>
          <w:rFonts w:ascii="Times New Roman" w:eastAsia="Times New Roman" w:hAnsi="Times New Roman" w:cs="Times New Roman"/>
          <w:sz w:val="28"/>
          <w:szCs w:val="28"/>
        </w:rPr>
        <w:t>нижней границы ионосферы</w:t>
      </w:r>
    </w:p>
    <w:p w:rsidR="00444E85" w:rsidRDefault="009B4F18">
      <w:pPr>
        <w:spacing w:line="240" w:lineRule="auto"/>
        <w:rPr>
          <w:rFonts w:ascii="Cambria Math" w:eastAsia="Cambria Math" w:hAnsi="Cambria Math" w:cs="Cambria Math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2π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r>
            <w:rPr>
              <w:rFonts w:ascii="Cambria Math" w:hAnsi="Cambria Math"/>
            </w:rPr>
            <m:t>=v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∂Δϕ</m:t>
              </m:r>
            </m:num>
            <m:den>
              <m:r>
                <w:rPr>
                  <w:rFonts w:ascii="Cambria Math" w:hAnsi="Cambria Math"/>
                </w:rPr>
                <m:t>∂h</m:t>
              </m:r>
            </m:den>
          </m:f>
        </m:oMath>
      </m:oMathPara>
    </w:p>
    <w:p w:rsidR="00444E85" w:rsidRDefault="00207DF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/>
            </w:rPr>
            <m:t>v=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2π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∂Δϕ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∂h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≈</m:t>
          </m:r>
          <m:r>
            <w:rPr>
              <w:rFonts w:ascii="Cambria Math" w:hAnsi="Cambria Math"/>
            </w:rPr>
            <m:t>11,9</m:t>
          </m:r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:rsidR="00444E85" w:rsidRDefault="00207DF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4. Вывод</w:t>
      </w:r>
    </w:p>
    <w:p w:rsidR="00444E85" w:rsidRDefault="00207DF7">
      <w:pPr>
        <w:spacing w:line="24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лабораторной работы было проведено исследование квазипериодических замираний сигналов ДКМ диапазона на трассе Москва – Н. Новгород. Получены значения частоты и периода замирания, параметров траектории волн в ионосфере и скорости движения нижней границы ионосферы.</w:t>
      </w:r>
      <w:bookmarkStart w:id="1" w:name="_GoBack"/>
      <w:bookmarkEnd w:id="1"/>
    </w:p>
    <w:p w:rsidR="00444E85" w:rsidRDefault="00207DF7">
      <w:pPr>
        <w:ind w:firstLine="28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sectPr w:rsidR="00444E85">
      <w:pgSz w:w="11906" w:h="16838"/>
      <w:pgMar w:top="1134" w:right="850" w:bottom="1134" w:left="1701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6376F9"/>
    <w:multiLevelType w:val="multilevel"/>
    <w:tmpl w:val="11AC3D1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7BF36F78"/>
    <w:multiLevelType w:val="multilevel"/>
    <w:tmpl w:val="3EE2DD3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4E85"/>
    <w:rsid w:val="00207DF7"/>
    <w:rsid w:val="0024778D"/>
    <w:rsid w:val="002672A2"/>
    <w:rsid w:val="00352EA8"/>
    <w:rsid w:val="00444E85"/>
    <w:rsid w:val="007B14CF"/>
    <w:rsid w:val="009B4F18"/>
    <w:rsid w:val="00BD47D4"/>
    <w:rsid w:val="00FC6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F525E"/>
  <w15:docId w15:val="{F66B7E6C-084F-4EE1-BDF4-C3E5FD419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 w:line="276" w:lineRule="auto"/>
    </w:pPr>
  </w:style>
  <w:style w:type="paragraph" w:styleId="1">
    <w:name w:val="heading 1"/>
    <w:basedOn w:val="a"/>
    <w:next w:val="a"/>
    <w:uiPriority w:val="9"/>
    <w:qFormat/>
    <w:rsid w:val="00F306A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LO-normal"/>
    <w:next w:val="LO-normal"/>
    <w:qFormat/>
    <w:pPr>
      <w:keepNext/>
      <w:keepLines/>
      <w:spacing w:before="360" w:after="80" w:line="240" w:lineRule="auto"/>
      <w:outlineLvl w:val="1"/>
    </w:pPr>
    <w:rPr>
      <w:b/>
      <w:sz w:val="36"/>
      <w:szCs w:val="36"/>
    </w:rPr>
  </w:style>
  <w:style w:type="paragraph" w:styleId="3">
    <w:name w:val="heading 3"/>
    <w:basedOn w:val="LO-normal"/>
    <w:next w:val="LO-normal"/>
    <w:qFormat/>
    <w:pPr>
      <w:keepNext/>
      <w:keepLines/>
      <w:spacing w:before="280" w:after="80" w:line="240" w:lineRule="auto"/>
      <w:outlineLvl w:val="2"/>
    </w:pPr>
    <w:rPr>
      <w:b/>
      <w:sz w:val="28"/>
      <w:szCs w:val="28"/>
    </w:rPr>
  </w:style>
  <w:style w:type="paragraph" w:styleId="4">
    <w:name w:val="heading 4"/>
    <w:basedOn w:val="LO-normal"/>
    <w:next w:val="LO-normal"/>
    <w:qFormat/>
    <w:pPr>
      <w:keepNext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5">
    <w:name w:val="heading 5"/>
    <w:basedOn w:val="LO-normal"/>
    <w:next w:val="LO-normal"/>
    <w:qFormat/>
    <w:pPr>
      <w:keepNext/>
      <w:keepLines/>
      <w:spacing w:before="220" w:after="40" w:line="240" w:lineRule="auto"/>
      <w:outlineLvl w:val="4"/>
    </w:pPr>
    <w:rPr>
      <w:b/>
    </w:rPr>
  </w:style>
  <w:style w:type="paragraph" w:styleId="6">
    <w:name w:val="heading 6"/>
    <w:basedOn w:val="LO-normal"/>
    <w:next w:val="LO-normal"/>
    <w:qFormat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0"/>
    <w:uiPriority w:val="9"/>
    <w:qFormat/>
    <w:rsid w:val="00F306A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3">
    <w:name w:val="Текст выноски Знак"/>
    <w:basedOn w:val="a0"/>
    <w:uiPriority w:val="99"/>
    <w:semiHidden/>
    <w:qFormat/>
    <w:rsid w:val="00F306A2"/>
    <w:rPr>
      <w:rFonts w:ascii="Tahoma" w:hAnsi="Tahoma" w:cs="Tahoma"/>
      <w:sz w:val="16"/>
      <w:szCs w:val="16"/>
    </w:rPr>
  </w:style>
  <w:style w:type="character" w:styleId="a4">
    <w:name w:val="Placeholder Text"/>
    <w:basedOn w:val="a0"/>
    <w:uiPriority w:val="99"/>
    <w:semiHidden/>
    <w:qFormat/>
    <w:rsid w:val="0083608A"/>
    <w:rPr>
      <w:color w:val="808080"/>
    </w:rPr>
  </w:style>
  <w:style w:type="paragraph" w:customStyle="1" w:styleId="Heading">
    <w:name w:val="Heading"/>
    <w:basedOn w:val="a"/>
    <w:next w:val="a5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5">
    <w:name w:val="Body Text"/>
    <w:basedOn w:val="a"/>
    <w:pPr>
      <w:spacing w:after="140"/>
    </w:pPr>
  </w:style>
  <w:style w:type="paragraph" w:styleId="a6">
    <w:name w:val="List"/>
    <w:basedOn w:val="a5"/>
    <w:rPr>
      <w:rFonts w:cs="Lohit Devanagari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pPr>
      <w:spacing w:after="200" w:line="276" w:lineRule="auto"/>
    </w:pPr>
  </w:style>
  <w:style w:type="paragraph" w:styleId="a8">
    <w:name w:val="Title"/>
    <w:basedOn w:val="LO-normal"/>
    <w:next w:val="LO-normal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styleId="a9">
    <w:name w:val="Normal (Web)"/>
    <w:basedOn w:val="a"/>
    <w:uiPriority w:val="99"/>
    <w:unhideWhenUsed/>
    <w:qFormat/>
    <w:rsid w:val="00F306A2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F306A2"/>
    <w:pPr>
      <w:spacing w:before="240" w:line="259" w:lineRule="auto"/>
    </w:pPr>
    <w:rPr>
      <w:b w:val="0"/>
      <w:bCs w:val="0"/>
      <w:sz w:val="32"/>
      <w:szCs w:val="32"/>
      <w:lang w:eastAsia="ru-RU"/>
    </w:rPr>
  </w:style>
  <w:style w:type="paragraph" w:styleId="20">
    <w:name w:val="toc 2"/>
    <w:basedOn w:val="a"/>
    <w:next w:val="a"/>
    <w:autoRedefine/>
    <w:uiPriority w:val="39"/>
    <w:unhideWhenUsed/>
    <w:rsid w:val="00F306A2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306A2"/>
    <w:pPr>
      <w:spacing w:after="100" w:line="259" w:lineRule="auto"/>
    </w:pPr>
    <w:rPr>
      <w:rFonts w:eastAsiaTheme="minorEastAsia" w:cs="Times New Roman"/>
      <w:lang w:eastAsia="ru-RU"/>
    </w:rPr>
  </w:style>
  <w:style w:type="paragraph" w:styleId="ab">
    <w:name w:val="Balloon Text"/>
    <w:basedOn w:val="a"/>
    <w:uiPriority w:val="99"/>
    <w:semiHidden/>
    <w:unhideWhenUsed/>
    <w:qFormat/>
    <w:rsid w:val="00F306A2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c">
    <w:name w:val="No Spacing"/>
    <w:uiPriority w:val="1"/>
    <w:qFormat/>
    <w:rsid w:val="00F306A2"/>
    <w:rPr>
      <w:rFonts w:eastAsiaTheme="minorEastAsia"/>
      <w:lang w:eastAsia="ru-RU"/>
    </w:rPr>
  </w:style>
  <w:style w:type="paragraph" w:styleId="ad">
    <w:name w:val="Subtitle"/>
    <w:basedOn w:val="LO-normal"/>
    <w:next w:val="LO-normal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ln>
                  <a:solidFill>
                    <a:schemeClr val="tx1"/>
                  </a:solidFill>
                </a:ln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>
                <a:ln>
                  <a:solidFill>
                    <a:schemeClr val="tx1"/>
                  </a:solidFill>
                </a:ln>
              </a:rPr>
              <a:t>Спектральная</a:t>
            </a:r>
            <a:r>
              <a:rPr lang="ru-RU" baseline="0">
                <a:ln>
                  <a:solidFill>
                    <a:schemeClr val="tx1"/>
                  </a:solidFill>
                </a:ln>
              </a:rPr>
              <a:t> плотность мощности</a:t>
            </a:r>
            <a:endParaRPr lang="ru-RU">
              <a:ln>
                <a:solidFill>
                  <a:schemeClr val="tx1"/>
                </a:solidFill>
              </a:ln>
            </a:endParaRP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ln>
                <a:solidFill>
                  <a:schemeClr val="tx1"/>
                </a:solidFill>
              </a:ln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Лист1!$A$1:$H$1</c:f>
              <c:numCache>
                <c:formatCode>General</c:formatCode>
                <c:ptCount val="8"/>
                <c:pt idx="0">
                  <c:v>0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0.7</c:v>
                </c:pt>
                <c:pt idx="6">
                  <c:v>0.9</c:v>
                </c:pt>
                <c:pt idx="7">
                  <c:v>1</c:v>
                </c:pt>
              </c:numCache>
            </c:numRef>
          </c:xVal>
          <c:yVal>
            <c:numRef>
              <c:f>Лист1!$A$2:$H$2</c:f>
              <c:numCache>
                <c:formatCode>General</c:formatCode>
                <c:ptCount val="8"/>
                <c:pt idx="0">
                  <c:v>110</c:v>
                </c:pt>
                <c:pt idx="1">
                  <c:v>18</c:v>
                </c:pt>
                <c:pt idx="2">
                  <c:v>28</c:v>
                </c:pt>
                <c:pt idx="3">
                  <c:v>15</c:v>
                </c:pt>
                <c:pt idx="4">
                  <c:v>2</c:v>
                </c:pt>
                <c:pt idx="5">
                  <c:v>21</c:v>
                </c:pt>
                <c:pt idx="6">
                  <c:v>12</c:v>
                </c:pt>
                <c:pt idx="7">
                  <c:v>18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6854-4F63-A2FB-8B146B9FFC7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99484063"/>
        <c:axId val="1806194847"/>
      </c:scatterChart>
      <c:valAx>
        <c:axId val="1799484063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ln>
                      <a:solidFill>
                        <a:schemeClr val="tx1"/>
                      </a:solidFill>
                    </a:ln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>
                    <a:ln>
                      <a:solidFill>
                        <a:schemeClr val="tx1"/>
                      </a:solidFill>
                    </a:ln>
                  </a:rPr>
                  <a:t>w,</a:t>
                </a:r>
                <a:r>
                  <a:rPr lang="ru-RU" baseline="0">
                    <a:ln>
                      <a:solidFill>
                        <a:schemeClr val="tx1"/>
                      </a:solidFill>
                    </a:ln>
                  </a:rPr>
                  <a:t> рад/с</a:t>
                </a:r>
                <a:endParaRPr lang="ru-RU">
                  <a:ln>
                    <a:solidFill>
                      <a:schemeClr val="tx1"/>
                    </a:solidFill>
                  </a:ln>
                </a:endParaRP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ln>
                    <a:solidFill>
                      <a:schemeClr val="tx1"/>
                    </a:solidFill>
                  </a:ln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ln>
                  <a:solidFill>
                    <a:schemeClr val="tx1"/>
                  </a:solidFill>
                </a:ln>
                <a:solidFill>
                  <a:schemeClr val="tx1">
                    <a:lumMod val="75000"/>
                    <a:lumOff val="25000"/>
                    <a:alpha val="91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06194847"/>
        <c:crosses val="autoZero"/>
        <c:crossBetween val="midCat"/>
      </c:valAx>
      <c:valAx>
        <c:axId val="1806194847"/>
        <c:scaling>
          <c:orientation val="minMax"/>
          <c:max val="11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ln>
                      <a:solidFill>
                        <a:schemeClr val="tx1"/>
                      </a:solidFill>
                    </a:ln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>
                    <a:ln>
                      <a:solidFill>
                        <a:schemeClr val="tx1"/>
                      </a:solidFill>
                    </a:ln>
                  </a:rPr>
                  <a:t>СПМ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ln>
                    <a:solidFill>
                      <a:schemeClr val="tx1"/>
                    </a:solidFill>
                  </a:ln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ln>
                  <a:solidFill>
                    <a:schemeClr val="tx1"/>
                  </a:solidFill>
                </a:ln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9948406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iJj0EMhk1+xjWBQ9njlrRO9Rz3Ew==">AMUW2mX609Tvc+/xF6slWDcPUbWTDyhS7T2j81rqhUedHoF1ecfJECv7+L6OZereOtk0wJBhFckxQPa+DdwGZt1/QpuJq1XtVVeVEBKS2p2YvUJw3iLiJ5AhudFX3olPUBkiEOxdL7Pv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8</Pages>
  <Words>958</Words>
  <Characters>5467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Дом</dc:creator>
  <dc:description/>
  <cp:lastModifiedBy>Дмитрий</cp:lastModifiedBy>
  <cp:revision>10</cp:revision>
  <dcterms:created xsi:type="dcterms:W3CDTF">2021-04-25T13:36:00Z</dcterms:created>
  <dcterms:modified xsi:type="dcterms:W3CDTF">2022-04-16T10:08:00Z</dcterms:modified>
  <dc:language>en-US</dc:language>
</cp:coreProperties>
</file>