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694"/>
        <w:gridCol w:w="1134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635799C2" w:rsidR="00D161FB" w:rsidRPr="00D161FB" w:rsidRDefault="00AB06C5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Razón de rechazo “Otros”</w:t>
            </w:r>
            <w:bookmarkEnd w:id="0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076237B8" w:rsidR="00D161FB" w:rsidRPr="00D161FB" w:rsidRDefault="00415A9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F54AE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AB06C5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07A01BF2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6BF46F9C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0C45647E" w:rsidR="00D161FB" w:rsidRPr="00D161FB" w:rsidRDefault="00AB06C5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hyperlink r:id="rId9" w:history="1">
              <w:r w:rsidRPr="00AB06C5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RF-13</w:t>
              </w:r>
            </w:hyperlink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DBF3D9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DCD72C" w14:textId="77777777" w:rsidR="00067B64" w:rsidRDefault="00097D91" w:rsidP="00AB06C5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autenticado.</w:t>
            </w:r>
          </w:p>
          <w:p w14:paraId="30780043" w14:textId="77777777" w:rsidR="00AB06C5" w:rsidRDefault="00AB06C5" w:rsidP="00AB06C5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completado el llenado de información para el formato DAS.</w:t>
            </w:r>
          </w:p>
          <w:p w14:paraId="5C52A566" w14:textId="58854E19" w:rsidR="00AB06C5" w:rsidRPr="00097D91" w:rsidRDefault="00AB06C5" w:rsidP="00AB06C5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completado el llenado de información de la primera parte del RBP.</w:t>
            </w: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4CAB715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19925E32" w:rsidR="00D161FB" w:rsidRPr="00D161FB" w:rsidRDefault="002504B1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</w:t>
            </w:r>
            <w:r w:rsidR="00AB06C5">
              <w:rPr>
                <w:rFonts w:ascii="Calibri" w:eastAsia="Times New Roman" w:hAnsi="Calibri" w:cs="Calibri"/>
                <w:color w:val="000000"/>
                <w:lang w:eastAsia="es-MX"/>
              </w:rPr>
              <w:t>operador registra una razón de rechazo o selecciona una existente.</w:t>
            </w:r>
          </w:p>
        </w:tc>
      </w:tr>
      <w:tr w:rsidR="00D161FB" w:rsidRPr="00D161FB" w14:paraId="5D5508B8" w14:textId="77777777" w:rsidTr="002A724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DF0A22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485FFDBE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C42AAF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3571BCBA" w:rsidR="00D161FB" w:rsidRPr="00D161FB" w:rsidRDefault="00D061E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18CF529" w14:textId="77777777" w:rsidTr="002A724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4A5BE9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19F498D6" w:rsidR="00D161FB" w:rsidRPr="00D161FB" w:rsidRDefault="00AB06C5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Permitir al operador registrar una razón de rechazo en el catálogo de razones de rechazo.</w:t>
            </w:r>
          </w:p>
        </w:tc>
      </w:tr>
      <w:tr w:rsidR="00D161FB" w:rsidRPr="00D161FB" w14:paraId="48D52E74" w14:textId="77777777" w:rsidTr="004A5BE9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4A5BE9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4A5BE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4A5BE9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2BF05DA3" w:rsidR="00D161FB" w:rsidRPr="00D161FB" w:rsidRDefault="00AB06C5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Cuando el operador selecciona “Otros” como razón de rechazo</w:t>
            </w:r>
            <w:r w:rsidR="00727C5E"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el sistema muestra el listado de </w:t>
            </w:r>
            <w:r w:rsidR="00727C5E">
              <w:rPr>
                <w:rFonts w:ascii="Calibri" w:eastAsia="Times New Roman" w:hAnsi="Calibri" w:cs="Calibri"/>
                <w:color w:val="000000"/>
                <w:lang w:eastAsia="es-MX"/>
              </w:rPr>
              <w:t>razones más frecuentes no registradas en el catálogo de razones de rechazo. Si la causa no se encuentra en el listado, el operador puede ingresarla manualmente.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256D" w:rsidRPr="00D161FB" w14:paraId="4009F7C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2DCA98" w14:textId="59732A24" w:rsidR="003C256D" w:rsidRDefault="003C256D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C21D96" w14:textId="1C766E79" w:rsidR="003C256D" w:rsidRDefault="00727C5E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selecciona “Otros” como razón de rechazo.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F5BA6A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FD53D2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32855490" w14:textId="77777777" w:rsidR="003C256D" w:rsidRPr="00D161FB" w:rsidRDefault="003C256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60BFC" w:rsidRPr="00D161FB" w14:paraId="0102732D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1504DC" w14:textId="6A465789" w:rsidR="00F60BFC" w:rsidRDefault="00F60BFC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684B15" w14:textId="4D59294B" w:rsidR="00F60BFC" w:rsidRDefault="00727C5E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despliega todas las razones de rechazo con causas más frecuentes no listada en el catálogo.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153254" w14:textId="77777777" w:rsidR="00F60BFC" w:rsidRPr="00D161FB" w:rsidRDefault="00F60BF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38A837" w14:textId="77777777" w:rsidR="00F60BFC" w:rsidRPr="00D161FB" w:rsidRDefault="00F60BF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79A2ECE" w14:textId="77777777" w:rsidR="00F60BFC" w:rsidRPr="00D161FB" w:rsidRDefault="00F60BFC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7B64" w:rsidRPr="00D161FB" w14:paraId="6CAB901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C64F1C" w14:textId="0CC35FCE" w:rsidR="00067B64" w:rsidRDefault="00067B6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D5A22A" w14:textId="0926B060" w:rsidR="00067B64" w:rsidRDefault="00727C5E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selecciona una causa de rechazo.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BAF98E" w14:textId="77777777" w:rsidR="00067B64" w:rsidRPr="00D161FB" w:rsidRDefault="00067B6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047D54" w14:textId="77777777" w:rsidR="00067B64" w:rsidRPr="00D161FB" w:rsidRDefault="00067B6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5148B098" w14:textId="77777777" w:rsidR="00067B64" w:rsidRPr="00D161FB" w:rsidRDefault="00067B64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27C5E" w:rsidRPr="00D161FB" w14:paraId="463A269A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EB6EE8" w14:textId="3FE7C1EE" w:rsidR="00727C5E" w:rsidRDefault="00727C5E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0AA50F" w14:textId="31FE274C" w:rsidR="00727C5E" w:rsidRDefault="00727C5E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registra la información en el apartado scrap y la carga a la base de datos.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6ADDC9" w14:textId="77777777" w:rsidR="00727C5E" w:rsidRPr="00D161FB" w:rsidRDefault="00727C5E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CB1761" w14:textId="77777777" w:rsidR="00727C5E" w:rsidRPr="00D161FB" w:rsidRDefault="00727C5E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5A4C8FEC" w14:textId="77777777" w:rsidR="00727C5E" w:rsidRPr="00D161FB" w:rsidRDefault="00727C5E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72425F19" w:rsidR="00D161FB" w:rsidRPr="00D161FB" w:rsidRDefault="00727C5E" w:rsidP="00727C5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 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69473B95" w:rsidR="00D161FB" w:rsidRPr="00D161FB" w:rsidRDefault="00727C5E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operador no encuentra una causa válida, el sistema habilita un campo de texto para capturar la razón de rechazo manualmente.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5239B22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E0099F0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1DD987AC" w:rsidR="002D1654" w:rsidRPr="00D161FB" w:rsidRDefault="00727C5E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Baja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770B108F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A5FF645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4CD674FB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22635A20" w:rsidR="002D1654" w:rsidRPr="00D161FB" w:rsidRDefault="00727C5E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12B25E8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15AF608B" w14:textId="77777777" w:rsidTr="002A7244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4AF9" w14:textId="5819C8D6" w:rsidR="002D1654" w:rsidRPr="00F101F8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4B60374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2D1654" w:rsidRPr="00D161FB" w:rsidRDefault="002D1654" w:rsidP="002D165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1654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0"/>
      <w:footerReference w:type="default" r:id="rId11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4905B" w14:textId="77777777" w:rsidR="00707E11" w:rsidRDefault="00707E11" w:rsidP="001E1D48">
      <w:r>
        <w:separator/>
      </w:r>
    </w:p>
  </w:endnote>
  <w:endnote w:type="continuationSeparator" w:id="0">
    <w:p w14:paraId="243A9E22" w14:textId="77777777" w:rsidR="00707E11" w:rsidRDefault="00707E11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9FD273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88EE7" w14:textId="77777777" w:rsidR="00707E11" w:rsidRDefault="00707E11" w:rsidP="001E1D48">
      <w:r>
        <w:separator/>
      </w:r>
    </w:p>
  </w:footnote>
  <w:footnote w:type="continuationSeparator" w:id="0">
    <w:p w14:paraId="4BD97195" w14:textId="77777777" w:rsidR="00707E11" w:rsidRDefault="00707E11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02B0F"/>
    <w:multiLevelType w:val="hybridMultilevel"/>
    <w:tmpl w:val="53BCA70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31D2A13"/>
    <w:multiLevelType w:val="hybridMultilevel"/>
    <w:tmpl w:val="894CC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F3C67"/>
    <w:multiLevelType w:val="hybridMultilevel"/>
    <w:tmpl w:val="D8D8911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3F552FE"/>
    <w:multiLevelType w:val="hybridMultilevel"/>
    <w:tmpl w:val="564E8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442E2"/>
    <w:rsid w:val="00044515"/>
    <w:rsid w:val="0005505F"/>
    <w:rsid w:val="00067B64"/>
    <w:rsid w:val="000738D3"/>
    <w:rsid w:val="000872E0"/>
    <w:rsid w:val="000907E5"/>
    <w:rsid w:val="0009186B"/>
    <w:rsid w:val="00097D91"/>
    <w:rsid w:val="000A40D7"/>
    <w:rsid w:val="000B75DF"/>
    <w:rsid w:val="000E130A"/>
    <w:rsid w:val="00112D0A"/>
    <w:rsid w:val="0015018F"/>
    <w:rsid w:val="001554A5"/>
    <w:rsid w:val="001563B0"/>
    <w:rsid w:val="00174F73"/>
    <w:rsid w:val="00183A14"/>
    <w:rsid w:val="001E1D48"/>
    <w:rsid w:val="001F7818"/>
    <w:rsid w:val="00205A20"/>
    <w:rsid w:val="0024722D"/>
    <w:rsid w:val="002504B1"/>
    <w:rsid w:val="0026432D"/>
    <w:rsid w:val="00296EF2"/>
    <w:rsid w:val="002A7244"/>
    <w:rsid w:val="002C1521"/>
    <w:rsid w:val="002D1654"/>
    <w:rsid w:val="00317294"/>
    <w:rsid w:val="00321D35"/>
    <w:rsid w:val="00332BFC"/>
    <w:rsid w:val="00333C40"/>
    <w:rsid w:val="00333F62"/>
    <w:rsid w:val="00333F91"/>
    <w:rsid w:val="00336F43"/>
    <w:rsid w:val="00351C2D"/>
    <w:rsid w:val="003955CA"/>
    <w:rsid w:val="003B7F8A"/>
    <w:rsid w:val="003C24E3"/>
    <w:rsid w:val="003C256D"/>
    <w:rsid w:val="003D24EE"/>
    <w:rsid w:val="00415A96"/>
    <w:rsid w:val="00421D28"/>
    <w:rsid w:val="00426287"/>
    <w:rsid w:val="004400AF"/>
    <w:rsid w:val="004421DE"/>
    <w:rsid w:val="0044759A"/>
    <w:rsid w:val="0048278C"/>
    <w:rsid w:val="0048335E"/>
    <w:rsid w:val="004A5BE9"/>
    <w:rsid w:val="004B79FD"/>
    <w:rsid w:val="004C3620"/>
    <w:rsid w:val="00546E80"/>
    <w:rsid w:val="005C6760"/>
    <w:rsid w:val="005C6BD2"/>
    <w:rsid w:val="005D45F5"/>
    <w:rsid w:val="005F1D0C"/>
    <w:rsid w:val="006225DF"/>
    <w:rsid w:val="006549BA"/>
    <w:rsid w:val="00694A68"/>
    <w:rsid w:val="006A6E9D"/>
    <w:rsid w:val="006E2814"/>
    <w:rsid w:val="006E7CB0"/>
    <w:rsid w:val="00707E11"/>
    <w:rsid w:val="0071517C"/>
    <w:rsid w:val="007176D9"/>
    <w:rsid w:val="007238AA"/>
    <w:rsid w:val="00727C5E"/>
    <w:rsid w:val="00757914"/>
    <w:rsid w:val="007B1166"/>
    <w:rsid w:val="007C082C"/>
    <w:rsid w:val="007D377B"/>
    <w:rsid w:val="007E6717"/>
    <w:rsid w:val="007E775F"/>
    <w:rsid w:val="007E7B16"/>
    <w:rsid w:val="007F151C"/>
    <w:rsid w:val="007F1CB8"/>
    <w:rsid w:val="007F498F"/>
    <w:rsid w:val="007F5A89"/>
    <w:rsid w:val="00836943"/>
    <w:rsid w:val="00862B6A"/>
    <w:rsid w:val="008D3E41"/>
    <w:rsid w:val="008E7134"/>
    <w:rsid w:val="008F7125"/>
    <w:rsid w:val="0090020E"/>
    <w:rsid w:val="00905AD0"/>
    <w:rsid w:val="00910CB1"/>
    <w:rsid w:val="009617F9"/>
    <w:rsid w:val="009A3E43"/>
    <w:rsid w:val="009A7223"/>
    <w:rsid w:val="009F4A6E"/>
    <w:rsid w:val="00A130DC"/>
    <w:rsid w:val="00A21504"/>
    <w:rsid w:val="00A62A8B"/>
    <w:rsid w:val="00A778DC"/>
    <w:rsid w:val="00A81E65"/>
    <w:rsid w:val="00A95ACD"/>
    <w:rsid w:val="00AB06C5"/>
    <w:rsid w:val="00AC6FE9"/>
    <w:rsid w:val="00B01918"/>
    <w:rsid w:val="00B05F82"/>
    <w:rsid w:val="00B4227D"/>
    <w:rsid w:val="00B51BB1"/>
    <w:rsid w:val="00B6076A"/>
    <w:rsid w:val="00BA6C36"/>
    <w:rsid w:val="00BB1A21"/>
    <w:rsid w:val="00BF48BD"/>
    <w:rsid w:val="00C10ABB"/>
    <w:rsid w:val="00C42AAF"/>
    <w:rsid w:val="00C4649F"/>
    <w:rsid w:val="00C545EA"/>
    <w:rsid w:val="00CA07D7"/>
    <w:rsid w:val="00CA478C"/>
    <w:rsid w:val="00CE0A97"/>
    <w:rsid w:val="00CE3265"/>
    <w:rsid w:val="00CE581C"/>
    <w:rsid w:val="00D061E9"/>
    <w:rsid w:val="00D062FB"/>
    <w:rsid w:val="00D161FB"/>
    <w:rsid w:val="00D1692C"/>
    <w:rsid w:val="00D41D90"/>
    <w:rsid w:val="00D55FDE"/>
    <w:rsid w:val="00D56AEA"/>
    <w:rsid w:val="00D72C58"/>
    <w:rsid w:val="00D734D3"/>
    <w:rsid w:val="00DA0A4E"/>
    <w:rsid w:val="00DA3C01"/>
    <w:rsid w:val="00DA5E6B"/>
    <w:rsid w:val="00DB74C1"/>
    <w:rsid w:val="00DD7F45"/>
    <w:rsid w:val="00E051F6"/>
    <w:rsid w:val="00E21FE5"/>
    <w:rsid w:val="00E22D73"/>
    <w:rsid w:val="00E32A04"/>
    <w:rsid w:val="00EA3A34"/>
    <w:rsid w:val="00EB1FEA"/>
    <w:rsid w:val="00F01EC0"/>
    <w:rsid w:val="00F101F8"/>
    <w:rsid w:val="00F54AE6"/>
    <w:rsid w:val="00F57CEF"/>
    <w:rsid w:val="00F60BFC"/>
    <w:rsid w:val="00F739A0"/>
    <w:rsid w:val="00F8718A"/>
    <w:rsid w:val="00FA0AAA"/>
    <w:rsid w:val="00FB0367"/>
    <w:rsid w:val="00FC63E6"/>
    <w:rsid w:val="00FC7997"/>
    <w:rsid w:val="00FD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15A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file:///C:\Users\anthony-martinez\Documents\Paperless%20HB%20Maquinado\Documentaci&#243;n\Oficial\Requerimientos\IEEE830%20ERS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BC1658-8AD0-4659-9CB9-0D292D7B3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Tarjeta de Acceso</vt:lpstr>
      <vt:lpstr>Solicitud de Tarjeta de Acceso</vt:lpstr>
    </vt:vector>
  </TitlesOfParts>
  <Company>Hewlett-Packard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2</cp:revision>
  <cp:lastPrinted>2014-04-11T18:12:00Z</cp:lastPrinted>
  <dcterms:created xsi:type="dcterms:W3CDTF">2025-02-13T17:57:00Z</dcterms:created>
  <dcterms:modified xsi:type="dcterms:W3CDTF">2025-02-13T17:57:00Z</dcterms:modified>
  <cp:category>IT</cp:category>
</cp:coreProperties>
</file>