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16D6B" w14:textId="6758D20E" w:rsidR="000219F0" w:rsidRPr="0043663A" w:rsidRDefault="008E7E89" w:rsidP="00B65604">
      <w:pPr>
        <w:pStyle w:val="Title"/>
        <w:rPr>
          <w:rFonts w:ascii="Garamond" w:hAnsi="Garamond"/>
          <w:sz w:val="28"/>
          <w:szCs w:val="28"/>
        </w:rPr>
      </w:pPr>
      <w:r w:rsidRPr="0043663A">
        <w:rPr>
          <w:rFonts w:ascii="Garamond" w:hAnsi="Garamond"/>
          <w:color w:val="C00000"/>
          <w:sz w:val="28"/>
          <w:szCs w:val="28"/>
        </w:rPr>
        <w:t>Codebook for ETF Sentiment Dataset</w:t>
      </w:r>
    </w:p>
    <w:p w14:paraId="61DF7411" w14:textId="61A8A1F4" w:rsidR="003E2093" w:rsidRPr="0043663A" w:rsidRDefault="00086DE3" w:rsidP="00B65604">
      <w:pPr>
        <w:pStyle w:val="Subtitle"/>
        <w:spacing w:before="200"/>
      </w:pPr>
      <w:bookmarkStart w:id="0" w:name="_7y6tlfhaofun" w:colFirst="0" w:colLast="0"/>
      <w:bookmarkEnd w:id="0"/>
      <w:r w:rsidRPr="0043663A">
        <w:t xml:space="preserve"> </w:t>
      </w:r>
      <w:r w:rsidR="00995363" w:rsidRPr="0043663A">
        <w:t>“How does market sentiment, proxied by the VIX, affect the returns of major ETFs representing different equity market segments?”</w:t>
      </w:r>
    </w:p>
    <w:p w14:paraId="547493FB" w14:textId="77777777" w:rsidR="000219F0" w:rsidRPr="0043663A" w:rsidRDefault="00F35EDF" w:rsidP="00B65604">
      <w:pPr>
        <w:pStyle w:val="Subtitle"/>
        <w:spacing w:before="200"/>
        <w:rPr>
          <w:b w:val="0"/>
          <w:bCs/>
        </w:rPr>
      </w:pPr>
      <w:r w:rsidRPr="0043663A">
        <w:rPr>
          <w:b w:val="0"/>
          <w:bCs/>
        </w:rPr>
        <w:t>Written By: Anthony Le</w:t>
      </w:r>
    </w:p>
    <w:p w14:paraId="168AACF9" w14:textId="77777777" w:rsidR="00B65604" w:rsidRPr="0043663A" w:rsidRDefault="00B65604" w:rsidP="00B65604">
      <w:pPr>
        <w:rPr>
          <w:lang w:val="en-US"/>
        </w:rPr>
      </w:pPr>
    </w:p>
    <w:p w14:paraId="194E8FB2" w14:textId="4A75381E" w:rsidR="008E7E89" w:rsidRPr="0043663A" w:rsidRDefault="008E7E89" w:rsidP="00B65604">
      <w:pPr>
        <w:pStyle w:val="Heading2"/>
        <w:rPr>
          <w:rStyle w:val="Strong"/>
          <w:b/>
          <w:bCs/>
        </w:rPr>
      </w:pPr>
      <w:r w:rsidRPr="0043663A">
        <w:rPr>
          <w:rStyle w:val="Strong"/>
          <w:b/>
          <w:bCs/>
        </w:rPr>
        <w:t xml:space="preserve">Dataset </w:t>
      </w:r>
      <w:r w:rsidR="00B65604" w:rsidRPr="0043663A">
        <w:rPr>
          <w:rStyle w:val="Strong"/>
          <w:b/>
          <w:bCs/>
        </w:rPr>
        <w:t>Overview</w:t>
      </w:r>
    </w:p>
    <w:p w14:paraId="52B5ED72" w14:textId="14704BE7" w:rsidR="00B65604" w:rsidRPr="0043663A" w:rsidRDefault="00B65604" w:rsidP="00B65604">
      <w:pPr>
        <w:spacing w:line="360" w:lineRule="auto"/>
        <w:ind w:firstLine="360"/>
      </w:pPr>
      <w:r w:rsidRPr="0043663A">
        <w:t>This dataset is a balanced panel constructed to study the relationship between market sentiment and equity ETF returns. Market sentiment is proxied by the CBOE Volatility Index (VIX), while ETF performance is measured using weekly log returns. The dataset integrates ETF-level price data with macro-financial variables to support panel econometric analysis.</w:t>
      </w:r>
    </w:p>
    <w:p w14:paraId="75EB5CE1" w14:textId="77777777" w:rsidR="008E7E89" w:rsidRPr="0043663A" w:rsidRDefault="008E7E89" w:rsidP="00B65604">
      <w:pPr>
        <w:pStyle w:val="NormalWeb"/>
        <w:numPr>
          <w:ilvl w:val="0"/>
          <w:numId w:val="39"/>
        </w:numPr>
        <w:spacing w:before="0" w:beforeAutospacing="0" w:line="360" w:lineRule="auto"/>
        <w:rPr>
          <w:rFonts w:ascii="Garamond" w:hAnsi="Garamond"/>
          <w:color w:val="000000"/>
        </w:rPr>
      </w:pPr>
      <w:r w:rsidRPr="0043663A">
        <w:rPr>
          <w:rStyle w:val="Strong"/>
          <w:rFonts w:ascii="Garamond" w:hAnsi="Garamond"/>
          <w:color w:val="000000"/>
        </w:rPr>
        <w:t>Type:</w:t>
      </w:r>
      <w:r w:rsidRPr="0043663A">
        <w:rPr>
          <w:rStyle w:val="apple-converted-space"/>
          <w:rFonts w:ascii="Garamond" w:hAnsi="Garamond"/>
          <w:color w:val="000000"/>
        </w:rPr>
        <w:t> </w:t>
      </w:r>
      <w:r w:rsidRPr="0043663A">
        <w:rPr>
          <w:rFonts w:ascii="Garamond" w:hAnsi="Garamond"/>
          <w:color w:val="000000"/>
        </w:rPr>
        <w:t>Balanced Panel Data</w:t>
      </w:r>
    </w:p>
    <w:p w14:paraId="61570CF0" w14:textId="5C688377" w:rsidR="008E7E89" w:rsidRPr="0043663A" w:rsidRDefault="008E7E89" w:rsidP="00B65604">
      <w:pPr>
        <w:pStyle w:val="NormalWeb"/>
        <w:numPr>
          <w:ilvl w:val="0"/>
          <w:numId w:val="39"/>
        </w:numPr>
        <w:spacing w:before="0" w:beforeAutospacing="0" w:line="360" w:lineRule="auto"/>
        <w:rPr>
          <w:rFonts w:ascii="Garamond" w:hAnsi="Garamond"/>
          <w:color w:val="000000"/>
        </w:rPr>
      </w:pPr>
      <w:r w:rsidRPr="0043663A">
        <w:rPr>
          <w:rStyle w:val="Strong"/>
          <w:rFonts w:ascii="Garamond" w:hAnsi="Garamond"/>
          <w:color w:val="000000"/>
        </w:rPr>
        <w:t>Unit of Observation:</w:t>
      </w:r>
      <w:r w:rsidRPr="0043663A">
        <w:rPr>
          <w:rStyle w:val="apple-converted-space"/>
          <w:rFonts w:ascii="Garamond" w:hAnsi="Garamond"/>
          <w:color w:val="000000"/>
        </w:rPr>
        <w:t> </w:t>
      </w:r>
      <w:r w:rsidRPr="0043663A">
        <w:rPr>
          <w:rFonts w:ascii="Garamond" w:hAnsi="Garamond"/>
          <w:color w:val="000000"/>
        </w:rPr>
        <w:t>ETF–Week pair</w:t>
      </w:r>
      <w:r w:rsidRPr="0043663A">
        <w:rPr>
          <w:rStyle w:val="apple-converted-space"/>
          <w:rFonts w:ascii="Garamond" w:hAnsi="Garamond"/>
          <w:color w:val="000000"/>
        </w:rPr>
        <w:t> </w:t>
      </w:r>
      <m:oMath>
        <m:r>
          <w:rPr>
            <w:rFonts w:ascii="Cambria Math" w:hAnsi="Cambria Math"/>
          </w:rPr>
          <m:t>(i,t)</m:t>
        </m:r>
      </m:oMath>
    </w:p>
    <w:p w14:paraId="63982DEC" w14:textId="77777777" w:rsidR="008E7E89" w:rsidRPr="0043663A" w:rsidRDefault="008E7E89" w:rsidP="00B65604">
      <w:pPr>
        <w:pStyle w:val="NormalWeb"/>
        <w:numPr>
          <w:ilvl w:val="0"/>
          <w:numId w:val="39"/>
        </w:numPr>
        <w:spacing w:before="0" w:beforeAutospacing="0" w:line="360" w:lineRule="auto"/>
        <w:rPr>
          <w:rFonts w:ascii="Garamond" w:hAnsi="Garamond"/>
          <w:color w:val="000000"/>
        </w:rPr>
      </w:pPr>
      <w:r w:rsidRPr="0043663A">
        <w:rPr>
          <w:rStyle w:val="Strong"/>
          <w:rFonts w:ascii="Garamond" w:hAnsi="Garamond"/>
          <w:color w:val="000000"/>
        </w:rPr>
        <w:t>Cross-sectional units:</w:t>
      </w:r>
      <w:r w:rsidRPr="0043663A">
        <w:rPr>
          <w:rStyle w:val="apple-converted-space"/>
          <w:rFonts w:ascii="Garamond" w:hAnsi="Garamond"/>
          <w:color w:val="000000"/>
        </w:rPr>
        <w:t> </w:t>
      </w:r>
      <w:r w:rsidRPr="0043663A">
        <w:rPr>
          <w:rFonts w:ascii="Garamond" w:hAnsi="Garamond"/>
          <w:color w:val="000000"/>
        </w:rPr>
        <w:t>9 ETFs</w:t>
      </w:r>
    </w:p>
    <w:p w14:paraId="6026B5A9" w14:textId="1019B0FA" w:rsidR="008E7E89" w:rsidRPr="0043663A" w:rsidRDefault="008E7E89" w:rsidP="00B65604">
      <w:pPr>
        <w:pStyle w:val="NormalWeb"/>
        <w:numPr>
          <w:ilvl w:val="0"/>
          <w:numId w:val="39"/>
        </w:numPr>
        <w:spacing w:before="0" w:beforeAutospacing="0" w:line="360" w:lineRule="auto"/>
        <w:rPr>
          <w:rFonts w:ascii="Garamond" w:hAnsi="Garamond"/>
          <w:color w:val="000000"/>
        </w:rPr>
      </w:pPr>
      <w:r w:rsidRPr="0043663A">
        <w:rPr>
          <w:rStyle w:val="Strong"/>
          <w:rFonts w:ascii="Garamond" w:hAnsi="Garamond"/>
          <w:color w:val="000000"/>
        </w:rPr>
        <w:t>Time dimension:</w:t>
      </w:r>
      <w:r w:rsidRPr="0043663A">
        <w:rPr>
          <w:rStyle w:val="apple-converted-space"/>
          <w:rFonts w:ascii="Garamond" w:hAnsi="Garamond"/>
          <w:color w:val="000000"/>
        </w:rPr>
        <w:t> </w:t>
      </w:r>
      <w:r w:rsidRPr="0043663A">
        <w:rPr>
          <w:rFonts w:ascii="Garamond" w:hAnsi="Garamond"/>
          <w:color w:val="000000"/>
        </w:rPr>
        <w:t>1,</w:t>
      </w:r>
      <w:r w:rsidR="00E2198E" w:rsidRPr="0043663A">
        <w:rPr>
          <w:rFonts w:ascii="Garamond" w:hAnsi="Garamond"/>
          <w:color w:val="000000"/>
        </w:rPr>
        <w:t>140</w:t>
      </w:r>
      <w:r w:rsidRPr="0043663A">
        <w:rPr>
          <w:rFonts w:ascii="Garamond" w:hAnsi="Garamond"/>
          <w:color w:val="000000"/>
        </w:rPr>
        <w:t xml:space="preserve"> weeks (</w:t>
      </w:r>
      <w:r w:rsidR="00E2198E" w:rsidRPr="0043663A">
        <w:rPr>
          <w:rFonts w:ascii="Garamond" w:hAnsi="Garamond"/>
          <w:color w:val="000000"/>
        </w:rPr>
        <w:t>December</w:t>
      </w:r>
      <w:r w:rsidRPr="0043663A">
        <w:rPr>
          <w:rFonts w:ascii="Garamond" w:hAnsi="Garamond"/>
          <w:color w:val="000000"/>
        </w:rPr>
        <w:t xml:space="preserve"> 200</w:t>
      </w:r>
      <w:r w:rsidR="00E2198E" w:rsidRPr="0043663A">
        <w:rPr>
          <w:rFonts w:ascii="Garamond" w:hAnsi="Garamond"/>
          <w:color w:val="000000"/>
        </w:rPr>
        <w:t>4</w:t>
      </w:r>
      <w:r w:rsidRPr="0043663A">
        <w:rPr>
          <w:rFonts w:ascii="Garamond" w:hAnsi="Garamond"/>
          <w:color w:val="000000"/>
        </w:rPr>
        <w:t xml:space="preserve"> – </w:t>
      </w:r>
      <w:r w:rsidR="00E2198E" w:rsidRPr="0043663A">
        <w:rPr>
          <w:rFonts w:ascii="Garamond" w:hAnsi="Garamond"/>
          <w:color w:val="000000"/>
        </w:rPr>
        <w:t>November</w:t>
      </w:r>
      <w:r w:rsidRPr="0043663A">
        <w:rPr>
          <w:rFonts w:ascii="Garamond" w:hAnsi="Garamond"/>
          <w:color w:val="000000"/>
        </w:rPr>
        <w:t xml:space="preserve"> 202</w:t>
      </w:r>
      <w:r w:rsidR="00E2198E" w:rsidRPr="0043663A">
        <w:rPr>
          <w:rFonts w:ascii="Garamond" w:hAnsi="Garamond"/>
          <w:color w:val="000000"/>
        </w:rPr>
        <w:t>5</w:t>
      </w:r>
      <w:r w:rsidRPr="0043663A">
        <w:rPr>
          <w:rFonts w:ascii="Garamond" w:hAnsi="Garamond"/>
          <w:color w:val="000000"/>
        </w:rPr>
        <w:t>)</w:t>
      </w:r>
    </w:p>
    <w:p w14:paraId="515194FF" w14:textId="1B9F20A5" w:rsidR="00B65604" w:rsidRPr="0043663A" w:rsidRDefault="008E7E89" w:rsidP="00B65604">
      <w:pPr>
        <w:pStyle w:val="NormalWeb"/>
        <w:numPr>
          <w:ilvl w:val="0"/>
          <w:numId w:val="39"/>
        </w:numPr>
        <w:spacing w:before="0" w:beforeAutospacing="0" w:line="360" w:lineRule="auto"/>
        <w:rPr>
          <w:rFonts w:ascii="Garamond" w:hAnsi="Garamond"/>
          <w:color w:val="000000"/>
        </w:rPr>
      </w:pPr>
      <w:r w:rsidRPr="0043663A">
        <w:rPr>
          <w:rStyle w:val="Strong"/>
          <w:rFonts w:ascii="Garamond" w:hAnsi="Garamond"/>
          <w:color w:val="000000"/>
        </w:rPr>
        <w:t>Total Observations:</w:t>
      </w:r>
      <w:r w:rsidRPr="0043663A">
        <w:rPr>
          <w:rStyle w:val="apple-converted-space"/>
          <w:rFonts w:ascii="Garamond" w:hAnsi="Garamond"/>
          <w:color w:val="000000"/>
        </w:rPr>
        <w:t> </w:t>
      </w:r>
      <w:r w:rsidR="00BB3F1D" w:rsidRPr="0043663A">
        <w:rPr>
          <w:rFonts w:ascii="Garamond" w:hAnsi="Garamond"/>
          <w:color w:val="000000"/>
          <w:lang w:val="en"/>
        </w:rPr>
        <w:t>10,260</w:t>
      </w:r>
      <w:r w:rsidR="00B65604" w:rsidRPr="0043663A">
        <w:rPr>
          <w:rFonts w:ascii="Garamond" w:hAnsi="Garamond"/>
          <w:color w:val="000000"/>
          <w:lang w:val="en"/>
        </w:rPr>
        <w:t xml:space="preserve"> </w:t>
      </w:r>
      <w:r w:rsidR="00B65604" w:rsidRPr="0043663A">
        <w:rPr>
          <w:rFonts w:ascii="Garamond" w:hAnsi="Garamond"/>
          <w:color w:val="000000"/>
          <w:lang w:val="en"/>
        </w:rPr>
        <w:t>(9 ETFs × 1,140 weeks)</w:t>
      </w:r>
    </w:p>
    <w:p w14:paraId="31672795" w14:textId="77777777" w:rsidR="008E7E89" w:rsidRPr="0043663A" w:rsidRDefault="008E7E89" w:rsidP="00B65604">
      <w:pPr>
        <w:pStyle w:val="Heading2"/>
        <w:rPr>
          <w:b w:val="0"/>
          <w:bCs w:val="0"/>
        </w:rPr>
      </w:pPr>
      <w:r w:rsidRPr="0043663A">
        <w:rPr>
          <w:rStyle w:val="Strong"/>
          <w:b/>
          <w:bCs/>
        </w:rPr>
        <w:t>Panel Settings</w:t>
      </w:r>
    </w:p>
    <w:tbl>
      <w:tblPr>
        <w:tblStyle w:val="PlainTable2"/>
        <w:tblW w:w="9360" w:type="dxa"/>
        <w:tblLook w:val="04A0" w:firstRow="1" w:lastRow="0" w:firstColumn="1" w:lastColumn="0" w:noHBand="0" w:noVBand="1"/>
      </w:tblPr>
      <w:tblGrid>
        <w:gridCol w:w="3780"/>
        <w:gridCol w:w="5580"/>
      </w:tblGrid>
      <w:tr w:rsidR="00B65604" w:rsidRPr="0043663A" w14:paraId="2BB5D4A1" w14:textId="77777777" w:rsidTr="00B65604">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vAlign w:val="center"/>
            <w:hideMark/>
          </w:tcPr>
          <w:p w14:paraId="5D663E38" w14:textId="77777777" w:rsidR="008E7E89" w:rsidRPr="0043663A" w:rsidRDefault="008E7E89" w:rsidP="0043663A">
            <w:pPr>
              <w:spacing w:line="276" w:lineRule="auto"/>
              <w:jc w:val="center"/>
            </w:pPr>
            <w:r w:rsidRPr="0043663A">
              <w:t>Specification</w:t>
            </w:r>
          </w:p>
        </w:tc>
        <w:tc>
          <w:tcPr>
            <w:tcW w:w="5580" w:type="dxa"/>
            <w:tcBorders>
              <w:top w:val="single" w:sz="4" w:space="0" w:color="auto"/>
              <w:bottom w:val="single" w:sz="4" w:space="0" w:color="auto"/>
            </w:tcBorders>
            <w:vAlign w:val="center"/>
            <w:hideMark/>
          </w:tcPr>
          <w:p w14:paraId="366DC1F0" w14:textId="77777777" w:rsidR="008E7E89" w:rsidRPr="0043663A" w:rsidRDefault="008E7E89" w:rsidP="0043663A">
            <w:pPr>
              <w:spacing w:line="276" w:lineRule="auto"/>
              <w:jc w:val="center"/>
              <w:cnfStyle w:val="100000000000" w:firstRow="1" w:lastRow="0" w:firstColumn="0" w:lastColumn="0" w:oddVBand="0" w:evenVBand="0" w:oddHBand="0" w:evenHBand="0" w:firstRowFirstColumn="0" w:firstRowLastColumn="0" w:lastRowFirstColumn="0" w:lastRowLastColumn="0"/>
            </w:pPr>
            <w:r w:rsidRPr="0043663A">
              <w:t>Description</w:t>
            </w:r>
          </w:p>
        </w:tc>
      </w:tr>
      <w:tr w:rsidR="00B65604" w:rsidRPr="0043663A" w14:paraId="786724FF" w14:textId="77777777" w:rsidTr="00B65604">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780" w:type="dxa"/>
            <w:tcBorders>
              <w:top w:val="single" w:sz="4" w:space="0" w:color="auto"/>
              <w:bottom w:val="nil"/>
            </w:tcBorders>
            <w:vAlign w:val="center"/>
            <w:hideMark/>
          </w:tcPr>
          <w:p w14:paraId="79AAE00E" w14:textId="53F5B8F1" w:rsidR="008E7E89" w:rsidRPr="0043663A" w:rsidRDefault="008E7E89" w:rsidP="0043663A">
            <w:pPr>
              <w:spacing w:line="276" w:lineRule="auto"/>
            </w:pPr>
            <w:r w:rsidRPr="0043663A">
              <w:rPr>
                <w:rStyle w:val="Strong"/>
              </w:rPr>
              <w:t xml:space="preserve">Panel identifier </w:t>
            </w:r>
            <m:oMath>
              <m:r>
                <m:rPr>
                  <m:sty m:val="bi"/>
                </m:rPr>
                <w:rPr>
                  <w:rFonts w:ascii="Cambria Math" w:hAnsi="Cambria Math"/>
                </w:rPr>
                <m:t>(i)</m:t>
              </m:r>
            </m:oMath>
          </w:p>
        </w:tc>
        <w:tc>
          <w:tcPr>
            <w:tcW w:w="5580" w:type="dxa"/>
            <w:tcBorders>
              <w:top w:val="single" w:sz="4" w:space="0" w:color="auto"/>
              <w:bottom w:val="nil"/>
            </w:tcBorders>
            <w:vAlign w:val="center"/>
            <w:hideMark/>
          </w:tcPr>
          <w:p w14:paraId="2B626270" w14:textId="77777777" w:rsidR="008E7E89" w:rsidRPr="0043663A" w:rsidRDefault="008E7E89" w:rsidP="0043663A">
            <w:pPr>
              <w:spacing w:line="276" w:lineRule="auto"/>
              <w:cnfStyle w:val="000000100000" w:firstRow="0" w:lastRow="0" w:firstColumn="0" w:lastColumn="0" w:oddVBand="0" w:evenVBand="0" w:oddHBand="1" w:evenHBand="0" w:firstRowFirstColumn="0" w:firstRowLastColumn="0" w:lastRowFirstColumn="0" w:lastRowLastColumn="0"/>
            </w:pPr>
            <w:r w:rsidRPr="0043663A">
              <w:t>Fund</w:t>
            </w:r>
          </w:p>
        </w:tc>
      </w:tr>
      <w:tr w:rsidR="00B65604" w:rsidRPr="0043663A" w14:paraId="03258292" w14:textId="77777777" w:rsidTr="00B65604">
        <w:trPr>
          <w:trHeight w:val="576"/>
        </w:trPr>
        <w:tc>
          <w:tcPr>
            <w:cnfStyle w:val="001000000000" w:firstRow="0" w:lastRow="0" w:firstColumn="1" w:lastColumn="0" w:oddVBand="0" w:evenVBand="0" w:oddHBand="0" w:evenHBand="0" w:firstRowFirstColumn="0" w:firstRowLastColumn="0" w:lastRowFirstColumn="0" w:lastRowLastColumn="0"/>
            <w:tcW w:w="3780" w:type="dxa"/>
            <w:tcBorders>
              <w:top w:val="nil"/>
              <w:bottom w:val="nil"/>
            </w:tcBorders>
            <w:vAlign w:val="center"/>
            <w:hideMark/>
          </w:tcPr>
          <w:p w14:paraId="28034153" w14:textId="3E3B7188" w:rsidR="008E7E89" w:rsidRPr="0043663A" w:rsidRDefault="008E7E89" w:rsidP="0043663A">
            <w:pPr>
              <w:spacing w:line="276" w:lineRule="auto"/>
            </w:pPr>
            <w:r w:rsidRPr="0043663A">
              <w:rPr>
                <w:rStyle w:val="Strong"/>
              </w:rPr>
              <w:t xml:space="preserve">Time variable </w:t>
            </w:r>
            <m:oMath>
              <m:r>
                <m:rPr>
                  <m:sty m:val="bi"/>
                </m:rPr>
                <w:rPr>
                  <w:rFonts w:ascii="Cambria Math" w:hAnsi="Cambria Math"/>
                </w:rPr>
                <m:t>(t)</m:t>
              </m:r>
            </m:oMath>
          </w:p>
        </w:tc>
        <w:tc>
          <w:tcPr>
            <w:tcW w:w="5580" w:type="dxa"/>
            <w:tcBorders>
              <w:top w:val="nil"/>
              <w:bottom w:val="nil"/>
            </w:tcBorders>
            <w:vAlign w:val="center"/>
            <w:hideMark/>
          </w:tcPr>
          <w:p w14:paraId="1FEDDC34" w14:textId="77777777" w:rsidR="008E7E89" w:rsidRPr="0043663A" w:rsidRDefault="008E7E89" w:rsidP="0043663A">
            <w:pPr>
              <w:spacing w:line="276" w:lineRule="auto"/>
              <w:cnfStyle w:val="000000000000" w:firstRow="0" w:lastRow="0" w:firstColumn="0" w:lastColumn="0" w:oddVBand="0" w:evenVBand="0" w:oddHBand="0" w:evenHBand="0" w:firstRowFirstColumn="0" w:firstRowLastColumn="0" w:lastRowFirstColumn="0" w:lastRowLastColumn="0"/>
            </w:pPr>
            <w:r w:rsidRPr="0043663A">
              <w:t>Date</w:t>
            </w:r>
          </w:p>
        </w:tc>
      </w:tr>
      <w:tr w:rsidR="00B65604" w:rsidRPr="0043663A" w14:paraId="5DC507EE" w14:textId="77777777" w:rsidTr="00B65604">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780" w:type="dxa"/>
            <w:tcBorders>
              <w:top w:val="nil"/>
              <w:bottom w:val="single" w:sz="4" w:space="0" w:color="auto"/>
            </w:tcBorders>
            <w:vAlign w:val="center"/>
            <w:hideMark/>
          </w:tcPr>
          <w:p w14:paraId="510EE00C" w14:textId="77777777" w:rsidR="008E7E89" w:rsidRPr="0043663A" w:rsidRDefault="008E7E89" w:rsidP="0043663A">
            <w:pPr>
              <w:spacing w:line="276" w:lineRule="auto"/>
            </w:pPr>
            <w:r w:rsidRPr="0043663A">
              <w:rPr>
                <w:rStyle w:val="Strong"/>
              </w:rPr>
              <w:t>Balanced panel</w:t>
            </w:r>
          </w:p>
        </w:tc>
        <w:tc>
          <w:tcPr>
            <w:tcW w:w="5580" w:type="dxa"/>
            <w:tcBorders>
              <w:top w:val="nil"/>
              <w:bottom w:val="single" w:sz="4" w:space="0" w:color="auto"/>
            </w:tcBorders>
            <w:vAlign w:val="center"/>
            <w:hideMark/>
          </w:tcPr>
          <w:p w14:paraId="42B6115D" w14:textId="6BBE52F3" w:rsidR="008E7E89" w:rsidRPr="0043663A" w:rsidRDefault="008E7E89" w:rsidP="0043663A">
            <w:pPr>
              <w:spacing w:line="276" w:lineRule="auto"/>
              <w:cnfStyle w:val="000000100000" w:firstRow="0" w:lastRow="0" w:firstColumn="0" w:lastColumn="0" w:oddVBand="0" w:evenVBand="0" w:oddHBand="1" w:evenHBand="0" w:firstRowFirstColumn="0" w:firstRowLastColumn="0" w:lastRowFirstColumn="0" w:lastRowLastColumn="0"/>
            </w:pPr>
            <w:r w:rsidRPr="0043663A">
              <w:t>Yes (9 ETFs × 1,</w:t>
            </w:r>
            <w:r w:rsidR="00E2198E" w:rsidRPr="0043663A">
              <w:t>140</w:t>
            </w:r>
            <w:r w:rsidRPr="0043663A">
              <w:t xml:space="preserve"> weeks = </w:t>
            </w:r>
            <w:r w:rsidR="00E2198E" w:rsidRPr="0043663A">
              <w:t>10,260</w:t>
            </w:r>
            <w:r w:rsidRPr="0043663A">
              <w:t xml:space="preserve"> observations)</w:t>
            </w:r>
          </w:p>
        </w:tc>
      </w:tr>
    </w:tbl>
    <w:p w14:paraId="08268218" w14:textId="77777777" w:rsidR="00B65604" w:rsidRPr="0043663A" w:rsidRDefault="00B65604">
      <w:pPr>
        <w:rPr>
          <w:rStyle w:val="Strong"/>
          <w:b w:val="0"/>
          <w:bCs w:val="0"/>
        </w:rPr>
      </w:pPr>
    </w:p>
    <w:p w14:paraId="6E80A0E8" w14:textId="5A48BE9C" w:rsidR="00B65604" w:rsidRPr="0043663A" w:rsidRDefault="00B65604" w:rsidP="00B65604">
      <w:pPr>
        <w:ind w:left="90"/>
        <w:jc w:val="both"/>
        <w:rPr>
          <w:rStyle w:val="Strong"/>
          <w:b w:val="0"/>
          <w:bCs w:val="0"/>
          <w:i/>
          <w:iCs/>
        </w:rPr>
      </w:pPr>
      <w:r w:rsidRPr="0043663A">
        <w:rPr>
          <w:i/>
          <w:iCs/>
        </w:rPr>
        <w:t>Notes:</w:t>
      </w:r>
      <w:r w:rsidRPr="0043663A">
        <w:t xml:space="preserve"> </w:t>
      </w:r>
      <w:r w:rsidRPr="0043663A">
        <w:t>All ETFs are observed continuously over the full sample period. Each ETF entered the market prior to November 2004, ensuring a complete panel with no entry or exit during the sample window</w:t>
      </w:r>
      <w:r w:rsidRPr="0043663A">
        <w:t>.</w:t>
      </w:r>
    </w:p>
    <w:p w14:paraId="356D0104" w14:textId="2A43DA9D" w:rsidR="00B65604" w:rsidRPr="0043663A" w:rsidRDefault="00B65604">
      <w:pPr>
        <w:rPr>
          <w:rStyle w:val="Strong"/>
          <w:b w:val="0"/>
          <w:bCs w:val="0"/>
        </w:rPr>
      </w:pPr>
      <w:r w:rsidRPr="0043663A">
        <w:rPr>
          <w:rStyle w:val="Strong"/>
          <w:b w:val="0"/>
          <w:bCs w:val="0"/>
        </w:rPr>
        <w:br w:type="page"/>
      </w:r>
    </w:p>
    <w:p w14:paraId="4ECDD436" w14:textId="5013D882" w:rsidR="008E7E89" w:rsidRPr="0043663A" w:rsidRDefault="008E7E89" w:rsidP="00B65604">
      <w:pPr>
        <w:pStyle w:val="Heading2"/>
        <w:rPr>
          <w:rStyle w:val="Strong"/>
          <w:b/>
          <w:bCs/>
        </w:rPr>
      </w:pPr>
      <w:r w:rsidRPr="0043663A">
        <w:rPr>
          <w:rStyle w:val="Strong"/>
          <w:b/>
          <w:bCs/>
        </w:rPr>
        <w:lastRenderedPageBreak/>
        <w:t>Data Sources</w:t>
      </w:r>
    </w:p>
    <w:tbl>
      <w:tblPr>
        <w:tblStyle w:val="PlainTable2"/>
        <w:tblW w:w="0" w:type="auto"/>
        <w:tblLook w:val="04A0" w:firstRow="1" w:lastRow="0" w:firstColumn="1" w:lastColumn="0" w:noHBand="0" w:noVBand="1"/>
      </w:tblPr>
      <w:tblGrid>
        <w:gridCol w:w="1493"/>
        <w:gridCol w:w="3457"/>
        <w:gridCol w:w="4410"/>
      </w:tblGrid>
      <w:tr w:rsidR="008E7E89" w:rsidRPr="0043663A" w14:paraId="0BF3B8AD" w14:textId="77777777" w:rsidTr="00B65604">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vAlign w:val="center"/>
            <w:hideMark/>
          </w:tcPr>
          <w:p w14:paraId="49530ACF" w14:textId="77777777" w:rsidR="008E7E89" w:rsidRPr="0043663A" w:rsidRDefault="008E7E89" w:rsidP="0043663A">
            <w:pPr>
              <w:spacing w:line="276" w:lineRule="auto"/>
              <w:jc w:val="center"/>
            </w:pPr>
            <w:r w:rsidRPr="0043663A">
              <w:t>Source</w:t>
            </w:r>
          </w:p>
        </w:tc>
        <w:tc>
          <w:tcPr>
            <w:tcW w:w="3457" w:type="dxa"/>
            <w:tcBorders>
              <w:top w:val="single" w:sz="4" w:space="0" w:color="auto"/>
              <w:bottom w:val="single" w:sz="4" w:space="0" w:color="auto"/>
            </w:tcBorders>
            <w:vAlign w:val="center"/>
            <w:hideMark/>
          </w:tcPr>
          <w:p w14:paraId="11D29652" w14:textId="77777777" w:rsidR="008E7E89" w:rsidRPr="0043663A" w:rsidRDefault="008E7E89" w:rsidP="0043663A">
            <w:pPr>
              <w:spacing w:line="276" w:lineRule="auto"/>
              <w:jc w:val="center"/>
              <w:cnfStyle w:val="100000000000" w:firstRow="1" w:lastRow="0" w:firstColumn="0" w:lastColumn="0" w:oddVBand="0" w:evenVBand="0" w:oddHBand="0" w:evenHBand="0" w:firstRowFirstColumn="0" w:firstRowLastColumn="0" w:lastRowFirstColumn="0" w:lastRowLastColumn="0"/>
            </w:pPr>
            <w:r w:rsidRPr="0043663A">
              <w:t>Variables</w:t>
            </w:r>
          </w:p>
        </w:tc>
        <w:tc>
          <w:tcPr>
            <w:tcW w:w="4410" w:type="dxa"/>
            <w:tcBorders>
              <w:top w:val="single" w:sz="4" w:space="0" w:color="auto"/>
              <w:bottom w:val="single" w:sz="4" w:space="0" w:color="auto"/>
            </w:tcBorders>
            <w:vAlign w:val="center"/>
            <w:hideMark/>
          </w:tcPr>
          <w:p w14:paraId="56DD8993" w14:textId="77777777" w:rsidR="008E7E89" w:rsidRPr="0043663A" w:rsidRDefault="008E7E89" w:rsidP="0043663A">
            <w:pPr>
              <w:spacing w:line="276" w:lineRule="auto"/>
              <w:jc w:val="center"/>
              <w:cnfStyle w:val="100000000000" w:firstRow="1" w:lastRow="0" w:firstColumn="0" w:lastColumn="0" w:oddVBand="0" w:evenVBand="0" w:oddHBand="0" w:evenHBand="0" w:firstRowFirstColumn="0" w:firstRowLastColumn="0" w:lastRowFirstColumn="0" w:lastRowLastColumn="0"/>
            </w:pPr>
            <w:r w:rsidRPr="0043663A">
              <w:t>Notes</w:t>
            </w:r>
          </w:p>
        </w:tc>
      </w:tr>
      <w:tr w:rsidR="008E7E89" w:rsidRPr="0043663A" w14:paraId="7F70EE16" w14:textId="77777777" w:rsidTr="00B65604">
        <w:trPr>
          <w:cnfStyle w:val="000000100000" w:firstRow="0" w:lastRow="0" w:firstColumn="0" w:lastColumn="0" w:oddVBand="0" w:evenVBand="0" w:oddHBand="1" w:evenHBand="0" w:firstRowFirstColumn="0" w:firstRowLastColumn="0" w:lastRowFirstColumn="0" w:lastRowLastColumn="0"/>
          <w:trHeight w:val="190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vAlign w:val="center"/>
            <w:hideMark/>
          </w:tcPr>
          <w:p w14:paraId="20008A62" w14:textId="77777777" w:rsidR="008E7E89" w:rsidRPr="0043663A" w:rsidRDefault="008E7E89" w:rsidP="0043663A">
            <w:pPr>
              <w:spacing w:line="276" w:lineRule="auto"/>
              <w:rPr>
                <w:b w:val="0"/>
                <w:bCs w:val="0"/>
              </w:rPr>
            </w:pPr>
            <w:r w:rsidRPr="0043663A">
              <w:rPr>
                <w:rStyle w:val="Strong"/>
              </w:rPr>
              <w:t>Bloomberg Terminal</w:t>
            </w:r>
          </w:p>
        </w:tc>
        <w:tc>
          <w:tcPr>
            <w:tcW w:w="3457" w:type="dxa"/>
            <w:tcBorders>
              <w:top w:val="single" w:sz="4" w:space="0" w:color="auto"/>
              <w:bottom w:val="nil"/>
            </w:tcBorders>
            <w:vAlign w:val="center"/>
            <w:hideMark/>
          </w:tcPr>
          <w:p w14:paraId="4FC99AA8" w14:textId="77777777" w:rsidR="008E7E89" w:rsidRPr="0043663A" w:rsidRDefault="008E7E89" w:rsidP="0043663A">
            <w:pPr>
              <w:spacing w:line="276" w:lineRule="auto"/>
              <w:cnfStyle w:val="000000100000" w:firstRow="0" w:lastRow="0" w:firstColumn="0" w:lastColumn="0" w:oddVBand="0" w:evenVBand="0" w:oddHBand="1" w:evenHBand="0" w:firstRowFirstColumn="0" w:firstRowLastColumn="0" w:lastRowFirstColumn="0" w:lastRowLastColumn="0"/>
            </w:pPr>
            <w:r w:rsidRPr="0043663A">
              <w:t>SPY, QQQ, IWM, VUG, VTV, EFA, EEM, XLF, XLK, SPX, VIX, US10YR, US3M, CBAA, CAAA</w:t>
            </w:r>
          </w:p>
        </w:tc>
        <w:tc>
          <w:tcPr>
            <w:tcW w:w="4410" w:type="dxa"/>
            <w:tcBorders>
              <w:top w:val="single" w:sz="4" w:space="0" w:color="auto"/>
              <w:bottom w:val="nil"/>
            </w:tcBorders>
            <w:vAlign w:val="center"/>
            <w:hideMark/>
          </w:tcPr>
          <w:p w14:paraId="043EFCB2" w14:textId="77777777" w:rsidR="008E7E89" w:rsidRPr="0043663A" w:rsidRDefault="008E7E89" w:rsidP="0043663A">
            <w:pPr>
              <w:spacing w:line="276" w:lineRule="auto"/>
              <w:cnfStyle w:val="000000100000" w:firstRow="0" w:lastRow="0" w:firstColumn="0" w:lastColumn="0" w:oddVBand="0" w:evenVBand="0" w:oddHBand="1" w:evenHBand="0" w:firstRowFirstColumn="0" w:firstRowLastColumn="0" w:lastRowFirstColumn="0" w:lastRowLastColumn="0"/>
            </w:pPr>
            <w:r w:rsidRPr="0043663A">
              <w:t>Primary source for all financial and macro data. Historical data exported via</w:t>
            </w:r>
            <w:r w:rsidRPr="0043663A">
              <w:rPr>
                <w:rStyle w:val="apple-converted-space"/>
              </w:rPr>
              <w:t> </w:t>
            </w:r>
            <w:r w:rsidRPr="0043663A">
              <w:rPr>
                <w:rStyle w:val="HTMLCode"/>
                <w:rFonts w:ascii="Garamond" w:eastAsia="Arial" w:hAnsi="Garamond"/>
                <w:sz w:val="24"/>
                <w:szCs w:val="24"/>
              </w:rPr>
              <w:t xml:space="preserve">Bloomberg Excel Add-In </w:t>
            </w:r>
            <w:r w:rsidRPr="0043663A">
              <w:t>using</w:t>
            </w:r>
            <w:r w:rsidRPr="0043663A">
              <w:rPr>
                <w:rStyle w:val="apple-converted-space"/>
              </w:rPr>
              <w:t> </w:t>
            </w:r>
            <w:r w:rsidRPr="0043663A">
              <w:rPr>
                <w:rStyle w:val="HTMLCode"/>
                <w:rFonts w:ascii="Garamond" w:eastAsia="Arial" w:hAnsi="Garamond"/>
                <w:sz w:val="24"/>
                <w:szCs w:val="24"/>
              </w:rPr>
              <w:t>PX_LAST</w:t>
            </w:r>
            <w:r w:rsidRPr="0043663A">
              <w:t>.</w:t>
            </w:r>
          </w:p>
        </w:tc>
      </w:tr>
      <w:tr w:rsidR="008E7E89" w:rsidRPr="0043663A" w14:paraId="3D5D73AF" w14:textId="77777777" w:rsidTr="00B65604">
        <w:trPr>
          <w:trHeight w:val="864"/>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vAlign w:val="center"/>
            <w:hideMark/>
          </w:tcPr>
          <w:p w14:paraId="2A6AAF64" w14:textId="77777777" w:rsidR="008E7E89" w:rsidRPr="0043663A" w:rsidRDefault="008E7E89" w:rsidP="0043663A">
            <w:pPr>
              <w:spacing w:line="276" w:lineRule="auto"/>
            </w:pPr>
            <w:r w:rsidRPr="0043663A">
              <w:rPr>
                <w:rStyle w:val="Strong"/>
              </w:rPr>
              <w:t>Derived in Stata</w:t>
            </w:r>
          </w:p>
        </w:tc>
        <w:tc>
          <w:tcPr>
            <w:tcW w:w="3457" w:type="dxa"/>
            <w:tcBorders>
              <w:top w:val="nil"/>
              <w:bottom w:val="single" w:sz="4" w:space="0" w:color="auto"/>
            </w:tcBorders>
            <w:vAlign w:val="center"/>
            <w:hideMark/>
          </w:tcPr>
          <w:p w14:paraId="59D74A4C" w14:textId="47FB2F33" w:rsidR="008E7E89" w:rsidRPr="0043663A" w:rsidRDefault="008E7E89" w:rsidP="0043663A">
            <w:pPr>
              <w:spacing w:line="276" w:lineRule="auto"/>
              <w:cnfStyle w:val="000000000000" w:firstRow="0" w:lastRow="0" w:firstColumn="0" w:lastColumn="0" w:oddVBand="0" w:evenVBand="0" w:oddHBand="0" w:evenHBand="0" w:firstRowFirstColumn="0" w:firstRowLastColumn="0" w:lastRowFirstColumn="0" w:lastRowLastColumn="0"/>
            </w:pPr>
            <w:r w:rsidRPr="0043663A">
              <w:t>fund_ret, spx_ret, term_spread, credit_spread</w:t>
            </w:r>
          </w:p>
        </w:tc>
        <w:tc>
          <w:tcPr>
            <w:tcW w:w="4410" w:type="dxa"/>
            <w:tcBorders>
              <w:top w:val="nil"/>
              <w:bottom w:val="single" w:sz="4" w:space="0" w:color="auto"/>
            </w:tcBorders>
            <w:vAlign w:val="center"/>
            <w:hideMark/>
          </w:tcPr>
          <w:p w14:paraId="334A1D94" w14:textId="51245F16" w:rsidR="008E7E89" w:rsidRPr="0043663A" w:rsidRDefault="008E7E89" w:rsidP="0043663A">
            <w:pPr>
              <w:spacing w:line="276" w:lineRule="auto"/>
              <w:cnfStyle w:val="000000000000" w:firstRow="0" w:lastRow="0" w:firstColumn="0" w:lastColumn="0" w:oddVBand="0" w:evenVBand="0" w:oddHBand="0" w:evenHBand="0" w:firstRowFirstColumn="0" w:firstRowLastColumn="0" w:lastRowFirstColumn="0" w:lastRowLastColumn="0"/>
            </w:pPr>
            <w:r w:rsidRPr="0043663A">
              <w:t xml:space="preserve">Constructed using log transformations and spreads per methodology specified </w:t>
            </w:r>
            <w:r w:rsidR="00B65604" w:rsidRPr="0043663A">
              <w:t>below</w:t>
            </w:r>
            <w:r w:rsidRPr="0043663A">
              <w:t>.</w:t>
            </w:r>
          </w:p>
        </w:tc>
      </w:tr>
    </w:tbl>
    <w:p w14:paraId="29907BE5" w14:textId="77777777" w:rsidR="00B65604" w:rsidRPr="0043663A" w:rsidRDefault="00B65604" w:rsidP="0043663A">
      <w:pPr>
        <w:pStyle w:val="Heading2"/>
        <w:numPr>
          <w:ilvl w:val="0"/>
          <w:numId w:val="0"/>
        </w:numPr>
        <w:rPr>
          <w:rStyle w:val="Strong"/>
        </w:rPr>
      </w:pPr>
    </w:p>
    <w:p w14:paraId="4598FAD7" w14:textId="102D011D" w:rsidR="008E7E89" w:rsidRPr="0043663A" w:rsidRDefault="008E7E89" w:rsidP="00B65604">
      <w:pPr>
        <w:pStyle w:val="Heading2"/>
        <w:rPr>
          <w:b w:val="0"/>
          <w:bCs w:val="0"/>
        </w:rPr>
      </w:pPr>
      <w:r w:rsidRPr="0043663A">
        <w:rPr>
          <w:rStyle w:val="Strong"/>
          <w:b/>
          <w:bCs/>
        </w:rPr>
        <w:t>Variable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2085"/>
        <w:gridCol w:w="1010"/>
        <w:gridCol w:w="942"/>
        <w:gridCol w:w="3870"/>
      </w:tblGrid>
      <w:tr w:rsidR="00416D53" w:rsidRPr="0043663A" w14:paraId="3C5B93C8" w14:textId="77777777" w:rsidTr="00416D53">
        <w:trPr>
          <w:tblHeader/>
          <w:tblCellSpacing w:w="15" w:type="dxa"/>
        </w:trPr>
        <w:tc>
          <w:tcPr>
            <w:tcW w:w="0" w:type="auto"/>
            <w:tcBorders>
              <w:top w:val="single" w:sz="4" w:space="0" w:color="auto"/>
              <w:bottom w:val="single" w:sz="4" w:space="0" w:color="auto"/>
            </w:tcBorders>
            <w:vAlign w:val="center"/>
            <w:hideMark/>
          </w:tcPr>
          <w:p w14:paraId="18DBEB5D" w14:textId="5823740D" w:rsidR="008E7E89" w:rsidRPr="0043663A" w:rsidRDefault="008E7E89" w:rsidP="0043663A">
            <w:pPr>
              <w:jc w:val="center"/>
              <w:rPr>
                <w:b/>
                <w:bCs/>
              </w:rPr>
            </w:pPr>
            <w:r w:rsidRPr="0043663A">
              <w:rPr>
                <w:b/>
                <w:bCs/>
              </w:rPr>
              <w:t xml:space="preserve">Variable </w:t>
            </w:r>
          </w:p>
        </w:tc>
        <w:tc>
          <w:tcPr>
            <w:tcW w:w="2055" w:type="dxa"/>
            <w:tcBorders>
              <w:top w:val="single" w:sz="4" w:space="0" w:color="auto"/>
              <w:bottom w:val="single" w:sz="4" w:space="0" w:color="auto"/>
            </w:tcBorders>
            <w:vAlign w:val="center"/>
            <w:hideMark/>
          </w:tcPr>
          <w:p w14:paraId="47E11FC8" w14:textId="5DCE8DD1" w:rsidR="008E7E89" w:rsidRPr="0043663A" w:rsidRDefault="008E7E89" w:rsidP="0043663A">
            <w:pPr>
              <w:jc w:val="center"/>
              <w:rPr>
                <w:b/>
                <w:bCs/>
              </w:rPr>
            </w:pPr>
            <w:r w:rsidRPr="0043663A">
              <w:rPr>
                <w:b/>
                <w:bCs/>
              </w:rPr>
              <w:t>Description</w:t>
            </w:r>
          </w:p>
        </w:tc>
        <w:tc>
          <w:tcPr>
            <w:tcW w:w="980" w:type="dxa"/>
            <w:tcBorders>
              <w:top w:val="single" w:sz="4" w:space="0" w:color="auto"/>
              <w:bottom w:val="single" w:sz="4" w:space="0" w:color="auto"/>
            </w:tcBorders>
            <w:vAlign w:val="center"/>
            <w:hideMark/>
          </w:tcPr>
          <w:p w14:paraId="228D230F" w14:textId="77777777" w:rsidR="008E7E89" w:rsidRPr="0043663A" w:rsidRDefault="008E7E89" w:rsidP="0043663A">
            <w:pPr>
              <w:jc w:val="center"/>
              <w:rPr>
                <w:b/>
                <w:bCs/>
              </w:rPr>
            </w:pPr>
            <w:r w:rsidRPr="0043663A">
              <w:rPr>
                <w:b/>
                <w:bCs/>
              </w:rPr>
              <w:t>Type</w:t>
            </w:r>
          </w:p>
        </w:tc>
        <w:tc>
          <w:tcPr>
            <w:tcW w:w="0" w:type="auto"/>
            <w:tcBorders>
              <w:top w:val="single" w:sz="4" w:space="0" w:color="auto"/>
              <w:bottom w:val="single" w:sz="4" w:space="0" w:color="auto"/>
            </w:tcBorders>
            <w:vAlign w:val="center"/>
            <w:hideMark/>
          </w:tcPr>
          <w:p w14:paraId="1B86C367" w14:textId="56C1A472" w:rsidR="008E7E89" w:rsidRPr="0043663A" w:rsidRDefault="008E7E89" w:rsidP="0043663A">
            <w:pPr>
              <w:jc w:val="center"/>
              <w:rPr>
                <w:b/>
                <w:bCs/>
              </w:rPr>
            </w:pPr>
            <w:r w:rsidRPr="0043663A">
              <w:rPr>
                <w:b/>
                <w:bCs/>
              </w:rPr>
              <w:t>Unit</w:t>
            </w:r>
          </w:p>
        </w:tc>
        <w:tc>
          <w:tcPr>
            <w:tcW w:w="0" w:type="auto"/>
            <w:tcBorders>
              <w:top w:val="single" w:sz="4" w:space="0" w:color="auto"/>
              <w:bottom w:val="single" w:sz="4" w:space="0" w:color="auto"/>
            </w:tcBorders>
            <w:vAlign w:val="center"/>
            <w:hideMark/>
          </w:tcPr>
          <w:p w14:paraId="1C030ECD" w14:textId="77777777" w:rsidR="008E7E89" w:rsidRPr="0043663A" w:rsidRDefault="008E7E89" w:rsidP="0043663A">
            <w:pPr>
              <w:jc w:val="center"/>
              <w:rPr>
                <w:b/>
                <w:bCs/>
              </w:rPr>
            </w:pPr>
            <w:r w:rsidRPr="0043663A">
              <w:rPr>
                <w:b/>
                <w:bCs/>
              </w:rPr>
              <w:t>Construction / Notes</w:t>
            </w:r>
          </w:p>
        </w:tc>
      </w:tr>
      <w:tr w:rsidR="00416D53" w:rsidRPr="0043663A" w14:paraId="009B09ED" w14:textId="77777777" w:rsidTr="00416D53">
        <w:trPr>
          <w:tblCellSpacing w:w="15" w:type="dxa"/>
        </w:trPr>
        <w:tc>
          <w:tcPr>
            <w:tcW w:w="0" w:type="auto"/>
            <w:vAlign w:val="center"/>
            <w:hideMark/>
          </w:tcPr>
          <w:p w14:paraId="20413A2C" w14:textId="77777777" w:rsidR="008E7E89" w:rsidRPr="0043663A" w:rsidRDefault="008E7E89" w:rsidP="0043663A">
            <w:r w:rsidRPr="0043663A">
              <w:rPr>
                <w:rStyle w:val="Strong"/>
              </w:rPr>
              <w:t>Date</w:t>
            </w:r>
          </w:p>
        </w:tc>
        <w:tc>
          <w:tcPr>
            <w:tcW w:w="2055" w:type="dxa"/>
            <w:vAlign w:val="center"/>
            <w:hideMark/>
          </w:tcPr>
          <w:p w14:paraId="01616DA6" w14:textId="77777777" w:rsidR="008E7E89" w:rsidRPr="0043663A" w:rsidRDefault="008E7E89" w:rsidP="0043663A">
            <w:r w:rsidRPr="0043663A">
              <w:t>Week ending date (Friday close)</w:t>
            </w:r>
          </w:p>
        </w:tc>
        <w:tc>
          <w:tcPr>
            <w:tcW w:w="980" w:type="dxa"/>
            <w:vAlign w:val="center"/>
            <w:hideMark/>
          </w:tcPr>
          <w:p w14:paraId="11B82D9C" w14:textId="77777777" w:rsidR="008E7E89" w:rsidRPr="0043663A" w:rsidRDefault="008E7E89" w:rsidP="0043663A">
            <w:r w:rsidRPr="0043663A">
              <w:t>Date</w:t>
            </w:r>
          </w:p>
        </w:tc>
        <w:tc>
          <w:tcPr>
            <w:tcW w:w="0" w:type="auto"/>
            <w:vAlign w:val="center"/>
            <w:hideMark/>
          </w:tcPr>
          <w:p w14:paraId="61BA64E8" w14:textId="1643B5B4" w:rsidR="008E7E89" w:rsidRPr="0043663A" w:rsidRDefault="008E7E89" w:rsidP="0043663A">
            <w:pPr>
              <w:jc w:val="center"/>
            </w:pPr>
            <w:r w:rsidRPr="0043663A">
              <w:t>Weekly</w:t>
            </w:r>
          </w:p>
        </w:tc>
        <w:tc>
          <w:tcPr>
            <w:tcW w:w="0" w:type="auto"/>
            <w:vAlign w:val="center"/>
            <w:hideMark/>
          </w:tcPr>
          <w:p w14:paraId="46BDF634" w14:textId="77777777" w:rsidR="008E7E89" w:rsidRPr="0043663A" w:rsidRDefault="008E7E89" w:rsidP="0043663A">
            <w:r w:rsidRPr="0043663A">
              <w:t>Imported directly from Bloomberg; serves as time identifier.</w:t>
            </w:r>
          </w:p>
        </w:tc>
      </w:tr>
      <w:tr w:rsidR="00416D53" w:rsidRPr="0043663A" w14:paraId="3CB93A5C" w14:textId="77777777" w:rsidTr="00416D53">
        <w:trPr>
          <w:tblCellSpacing w:w="15" w:type="dxa"/>
        </w:trPr>
        <w:tc>
          <w:tcPr>
            <w:tcW w:w="0" w:type="auto"/>
            <w:vAlign w:val="center"/>
            <w:hideMark/>
          </w:tcPr>
          <w:p w14:paraId="56D88530" w14:textId="77777777" w:rsidR="008E7E89" w:rsidRPr="0043663A" w:rsidRDefault="008E7E89" w:rsidP="0043663A">
            <w:r w:rsidRPr="0043663A">
              <w:rPr>
                <w:rStyle w:val="Strong"/>
              </w:rPr>
              <w:t>Fund</w:t>
            </w:r>
          </w:p>
        </w:tc>
        <w:tc>
          <w:tcPr>
            <w:tcW w:w="2055" w:type="dxa"/>
            <w:vAlign w:val="center"/>
            <w:hideMark/>
          </w:tcPr>
          <w:p w14:paraId="4B7A7634" w14:textId="77777777" w:rsidR="008E7E89" w:rsidRPr="0043663A" w:rsidRDefault="008E7E89" w:rsidP="0043663A">
            <w:r w:rsidRPr="0043663A">
              <w:t>ETF identifier (Ticker)</w:t>
            </w:r>
          </w:p>
        </w:tc>
        <w:tc>
          <w:tcPr>
            <w:tcW w:w="980" w:type="dxa"/>
            <w:vAlign w:val="center"/>
            <w:hideMark/>
          </w:tcPr>
          <w:p w14:paraId="3415802F" w14:textId="77777777" w:rsidR="008E7E89" w:rsidRPr="0043663A" w:rsidRDefault="008E7E89" w:rsidP="0043663A">
            <w:r w:rsidRPr="0043663A">
              <w:t>String</w:t>
            </w:r>
          </w:p>
        </w:tc>
        <w:tc>
          <w:tcPr>
            <w:tcW w:w="0" w:type="auto"/>
            <w:vAlign w:val="center"/>
            <w:hideMark/>
          </w:tcPr>
          <w:p w14:paraId="37E35601" w14:textId="291B4571" w:rsidR="008E7E89" w:rsidRPr="0043663A" w:rsidRDefault="008E7E89" w:rsidP="0043663A">
            <w:pPr>
              <w:jc w:val="center"/>
            </w:pPr>
            <w:r w:rsidRPr="0043663A">
              <w:t>.</w:t>
            </w:r>
          </w:p>
        </w:tc>
        <w:tc>
          <w:tcPr>
            <w:tcW w:w="0" w:type="auto"/>
            <w:vAlign w:val="center"/>
            <w:hideMark/>
          </w:tcPr>
          <w:p w14:paraId="2767306B" w14:textId="77777777" w:rsidR="008E7E89" w:rsidRPr="0043663A" w:rsidRDefault="008E7E89" w:rsidP="0043663A">
            <w:r w:rsidRPr="0043663A">
              <w:t>Created during reshape; represents cross-sectional unit.</w:t>
            </w:r>
          </w:p>
        </w:tc>
      </w:tr>
      <w:tr w:rsidR="00416D53" w:rsidRPr="0043663A" w14:paraId="6C5609D1" w14:textId="77777777" w:rsidTr="00416D53">
        <w:trPr>
          <w:tblCellSpacing w:w="15" w:type="dxa"/>
        </w:trPr>
        <w:tc>
          <w:tcPr>
            <w:tcW w:w="0" w:type="auto"/>
            <w:vAlign w:val="center"/>
            <w:hideMark/>
          </w:tcPr>
          <w:p w14:paraId="2900ABD2" w14:textId="77777777" w:rsidR="008E7E89" w:rsidRPr="0043663A" w:rsidRDefault="008E7E89" w:rsidP="0043663A">
            <w:r w:rsidRPr="0043663A">
              <w:rPr>
                <w:rStyle w:val="Strong"/>
              </w:rPr>
              <w:t>price</w:t>
            </w:r>
          </w:p>
        </w:tc>
        <w:tc>
          <w:tcPr>
            <w:tcW w:w="2055" w:type="dxa"/>
            <w:vAlign w:val="center"/>
            <w:hideMark/>
          </w:tcPr>
          <w:p w14:paraId="19CC6D4F" w14:textId="77777777" w:rsidR="008E7E89" w:rsidRPr="0043663A" w:rsidRDefault="008E7E89" w:rsidP="0043663A">
            <w:r w:rsidRPr="0043663A">
              <w:t>ETF adjusted closing price</w:t>
            </w:r>
          </w:p>
        </w:tc>
        <w:tc>
          <w:tcPr>
            <w:tcW w:w="980" w:type="dxa"/>
            <w:vAlign w:val="center"/>
            <w:hideMark/>
          </w:tcPr>
          <w:p w14:paraId="528A3741" w14:textId="0C2575FA" w:rsidR="008E7E89" w:rsidRPr="0043663A" w:rsidRDefault="008E7E89" w:rsidP="0043663A">
            <w:r w:rsidRPr="0043663A">
              <w:t xml:space="preserve">Numeric </w:t>
            </w:r>
          </w:p>
        </w:tc>
        <w:tc>
          <w:tcPr>
            <w:tcW w:w="0" w:type="auto"/>
            <w:vAlign w:val="center"/>
            <w:hideMark/>
          </w:tcPr>
          <w:p w14:paraId="1B76A45D" w14:textId="77777777" w:rsidR="008E7E89" w:rsidRPr="0043663A" w:rsidRDefault="008E7E89" w:rsidP="0043663A">
            <w:pPr>
              <w:jc w:val="center"/>
            </w:pPr>
            <w:r w:rsidRPr="0043663A">
              <w:t>USD</w:t>
            </w:r>
          </w:p>
        </w:tc>
        <w:tc>
          <w:tcPr>
            <w:tcW w:w="0" w:type="auto"/>
            <w:vAlign w:val="center"/>
            <w:hideMark/>
          </w:tcPr>
          <w:p w14:paraId="318C3EE8" w14:textId="77777777" w:rsidR="008E7E89" w:rsidRPr="0043663A" w:rsidRDefault="008E7E89" w:rsidP="0043663A">
            <w:r w:rsidRPr="0043663A">
              <w:rPr>
                <w:rStyle w:val="HTMLCode"/>
                <w:rFonts w:ascii="Garamond" w:eastAsia="Arial" w:hAnsi="Garamond"/>
                <w:sz w:val="24"/>
                <w:szCs w:val="24"/>
              </w:rPr>
              <w:t>PX_LAST</w:t>
            </w:r>
            <w:r w:rsidRPr="0043663A">
              <w:rPr>
                <w:rStyle w:val="apple-converted-space"/>
              </w:rPr>
              <w:t> </w:t>
            </w:r>
            <w:r w:rsidRPr="0043663A">
              <w:t>from Bloomberg. Used to compute fund returns.</w:t>
            </w:r>
          </w:p>
        </w:tc>
      </w:tr>
      <w:tr w:rsidR="00416D53" w:rsidRPr="0043663A" w14:paraId="7AE1004B" w14:textId="77777777" w:rsidTr="00416D53">
        <w:trPr>
          <w:tblCellSpacing w:w="15" w:type="dxa"/>
        </w:trPr>
        <w:tc>
          <w:tcPr>
            <w:tcW w:w="0" w:type="auto"/>
            <w:vAlign w:val="center"/>
            <w:hideMark/>
          </w:tcPr>
          <w:p w14:paraId="3BC39854" w14:textId="77777777" w:rsidR="008E7E89" w:rsidRPr="0043663A" w:rsidRDefault="008E7E89" w:rsidP="0043663A">
            <w:r w:rsidRPr="0043663A">
              <w:rPr>
                <w:rStyle w:val="Strong"/>
              </w:rPr>
              <w:t>fund_ret</w:t>
            </w:r>
          </w:p>
        </w:tc>
        <w:tc>
          <w:tcPr>
            <w:tcW w:w="2055" w:type="dxa"/>
            <w:vAlign w:val="center"/>
            <w:hideMark/>
          </w:tcPr>
          <w:p w14:paraId="59B79CAA" w14:textId="77777777" w:rsidR="008E7E89" w:rsidRPr="0043663A" w:rsidRDefault="008E7E89" w:rsidP="0043663A">
            <w:r w:rsidRPr="0043663A">
              <w:t>ETF weekly log return</w:t>
            </w:r>
          </w:p>
        </w:tc>
        <w:tc>
          <w:tcPr>
            <w:tcW w:w="980" w:type="dxa"/>
            <w:vAlign w:val="center"/>
            <w:hideMark/>
          </w:tcPr>
          <w:p w14:paraId="740210E7" w14:textId="11406AF7" w:rsidR="008E7E89" w:rsidRPr="0043663A" w:rsidRDefault="008E7E89" w:rsidP="0043663A">
            <w:r w:rsidRPr="0043663A">
              <w:t>Numeric</w:t>
            </w:r>
          </w:p>
        </w:tc>
        <w:tc>
          <w:tcPr>
            <w:tcW w:w="0" w:type="auto"/>
            <w:vAlign w:val="center"/>
            <w:hideMark/>
          </w:tcPr>
          <w:p w14:paraId="0E4F6462" w14:textId="15E14B38" w:rsidR="008E7E89" w:rsidRPr="0043663A" w:rsidRDefault="00416D53" w:rsidP="0043663A">
            <w:pPr>
              <w:jc w:val="center"/>
            </w:pPr>
            <w:r w:rsidRPr="0043663A">
              <w:t>%</w:t>
            </w:r>
          </w:p>
        </w:tc>
        <w:tc>
          <w:tcPr>
            <w:tcW w:w="0" w:type="auto"/>
            <w:vAlign w:val="center"/>
            <w:hideMark/>
          </w:tcPr>
          <w:p w14:paraId="16CABDD3" w14:textId="42BC4B7E" w:rsidR="008E7E89" w:rsidRPr="0043663A" w:rsidRDefault="008E7E89" w:rsidP="0043663A">
            <m:oMath>
              <m:r>
                <w:rPr>
                  <w:rFonts w:ascii="Cambria Math" w:hAnsi="Cambria Math"/>
                </w:rPr>
                <m:t>100×</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t-1</m:t>
                              </m:r>
                            </m:sub>
                          </m:sSub>
                        </m:e>
                      </m:d>
                    </m:e>
                  </m:func>
                </m:e>
              </m:d>
            </m:oMath>
            <w:r w:rsidR="00416D53" w:rsidRPr="0043663A">
              <w:t xml:space="preserve"> </w:t>
            </w:r>
            <w:r w:rsidRPr="0043663A">
              <w:t>computed by fund.</w:t>
            </w:r>
          </w:p>
        </w:tc>
      </w:tr>
      <w:tr w:rsidR="00416D53" w:rsidRPr="0043663A" w14:paraId="6F36E05D" w14:textId="77777777" w:rsidTr="00416D53">
        <w:trPr>
          <w:tblCellSpacing w:w="15" w:type="dxa"/>
        </w:trPr>
        <w:tc>
          <w:tcPr>
            <w:tcW w:w="0" w:type="auto"/>
            <w:vAlign w:val="center"/>
            <w:hideMark/>
          </w:tcPr>
          <w:p w14:paraId="24D549BD" w14:textId="77777777" w:rsidR="008E7E89" w:rsidRPr="0043663A" w:rsidRDefault="008E7E89" w:rsidP="0043663A">
            <w:r w:rsidRPr="0043663A">
              <w:rPr>
                <w:rStyle w:val="Strong"/>
              </w:rPr>
              <w:t>VIX</w:t>
            </w:r>
          </w:p>
        </w:tc>
        <w:tc>
          <w:tcPr>
            <w:tcW w:w="2055" w:type="dxa"/>
            <w:vAlign w:val="center"/>
            <w:hideMark/>
          </w:tcPr>
          <w:p w14:paraId="257AA151" w14:textId="77777777" w:rsidR="008E7E89" w:rsidRPr="0043663A" w:rsidRDefault="008E7E89" w:rsidP="0043663A">
            <w:r w:rsidRPr="0043663A">
              <w:t>CBOE Volatility Index</w:t>
            </w:r>
          </w:p>
        </w:tc>
        <w:tc>
          <w:tcPr>
            <w:tcW w:w="980" w:type="dxa"/>
            <w:vAlign w:val="center"/>
            <w:hideMark/>
          </w:tcPr>
          <w:p w14:paraId="6C8B691B" w14:textId="6F545095" w:rsidR="008E7E89" w:rsidRPr="0043663A" w:rsidRDefault="008E7E89" w:rsidP="0043663A">
            <w:r w:rsidRPr="0043663A">
              <w:t xml:space="preserve">Numeric </w:t>
            </w:r>
          </w:p>
        </w:tc>
        <w:tc>
          <w:tcPr>
            <w:tcW w:w="0" w:type="auto"/>
            <w:vAlign w:val="center"/>
            <w:hideMark/>
          </w:tcPr>
          <w:p w14:paraId="3B4C11FE" w14:textId="77777777" w:rsidR="008E7E89" w:rsidRPr="0043663A" w:rsidRDefault="008E7E89" w:rsidP="0043663A">
            <w:pPr>
              <w:jc w:val="center"/>
            </w:pPr>
            <w:r w:rsidRPr="0043663A">
              <w:t>Index points</w:t>
            </w:r>
          </w:p>
        </w:tc>
        <w:tc>
          <w:tcPr>
            <w:tcW w:w="0" w:type="auto"/>
            <w:vAlign w:val="center"/>
            <w:hideMark/>
          </w:tcPr>
          <w:p w14:paraId="705B0760" w14:textId="77777777" w:rsidR="008E7E89" w:rsidRPr="0043663A" w:rsidRDefault="008E7E89" w:rsidP="0043663A">
            <w:r w:rsidRPr="0043663A">
              <w:t>Level of implied volatility on S&amp;P 500 options. Proxy for investor sentiment.</w:t>
            </w:r>
          </w:p>
        </w:tc>
      </w:tr>
      <w:tr w:rsidR="00416D53" w:rsidRPr="0043663A" w14:paraId="767A0EF3" w14:textId="77777777" w:rsidTr="00416D53">
        <w:trPr>
          <w:tblCellSpacing w:w="15" w:type="dxa"/>
        </w:trPr>
        <w:tc>
          <w:tcPr>
            <w:tcW w:w="0" w:type="auto"/>
            <w:vAlign w:val="center"/>
            <w:hideMark/>
          </w:tcPr>
          <w:p w14:paraId="4B1B8706" w14:textId="77777777" w:rsidR="008E7E89" w:rsidRPr="0043663A" w:rsidRDefault="008E7E89" w:rsidP="0043663A">
            <w:r w:rsidRPr="0043663A">
              <w:rPr>
                <w:rStyle w:val="Strong"/>
              </w:rPr>
              <w:t>SPX</w:t>
            </w:r>
          </w:p>
        </w:tc>
        <w:tc>
          <w:tcPr>
            <w:tcW w:w="2055" w:type="dxa"/>
            <w:vAlign w:val="center"/>
            <w:hideMark/>
          </w:tcPr>
          <w:p w14:paraId="7A17DA27" w14:textId="77777777" w:rsidR="008E7E89" w:rsidRPr="0043663A" w:rsidRDefault="008E7E89" w:rsidP="0043663A">
            <w:r w:rsidRPr="0043663A">
              <w:t>S&amp;P 500 Index Level</w:t>
            </w:r>
          </w:p>
        </w:tc>
        <w:tc>
          <w:tcPr>
            <w:tcW w:w="980" w:type="dxa"/>
            <w:vAlign w:val="center"/>
            <w:hideMark/>
          </w:tcPr>
          <w:p w14:paraId="0018F65E" w14:textId="0A8DA661" w:rsidR="008E7E89" w:rsidRPr="0043663A" w:rsidRDefault="008E7E89" w:rsidP="0043663A">
            <w:r w:rsidRPr="0043663A">
              <w:t xml:space="preserve">Numeric </w:t>
            </w:r>
          </w:p>
        </w:tc>
        <w:tc>
          <w:tcPr>
            <w:tcW w:w="0" w:type="auto"/>
            <w:vAlign w:val="center"/>
            <w:hideMark/>
          </w:tcPr>
          <w:p w14:paraId="58B032B6" w14:textId="77777777" w:rsidR="008E7E89" w:rsidRPr="0043663A" w:rsidRDefault="008E7E89" w:rsidP="0043663A">
            <w:pPr>
              <w:jc w:val="center"/>
            </w:pPr>
            <w:r w:rsidRPr="0043663A">
              <w:t>Index points</w:t>
            </w:r>
          </w:p>
        </w:tc>
        <w:tc>
          <w:tcPr>
            <w:tcW w:w="0" w:type="auto"/>
            <w:vAlign w:val="center"/>
            <w:hideMark/>
          </w:tcPr>
          <w:p w14:paraId="7A9663A8" w14:textId="77777777" w:rsidR="008E7E89" w:rsidRPr="0043663A" w:rsidRDefault="008E7E89" w:rsidP="0043663A">
            <w:r w:rsidRPr="0043663A">
              <w:t>Market benchmark for U.S. equities.</w:t>
            </w:r>
          </w:p>
        </w:tc>
      </w:tr>
      <w:tr w:rsidR="00416D53" w:rsidRPr="0043663A" w14:paraId="625F4083" w14:textId="77777777" w:rsidTr="00416D53">
        <w:trPr>
          <w:tblCellSpacing w:w="15" w:type="dxa"/>
        </w:trPr>
        <w:tc>
          <w:tcPr>
            <w:tcW w:w="0" w:type="auto"/>
            <w:vAlign w:val="center"/>
            <w:hideMark/>
          </w:tcPr>
          <w:p w14:paraId="439C8846" w14:textId="77777777" w:rsidR="008E7E89" w:rsidRPr="0043663A" w:rsidRDefault="008E7E89" w:rsidP="0043663A">
            <w:r w:rsidRPr="0043663A">
              <w:rPr>
                <w:rStyle w:val="Strong"/>
              </w:rPr>
              <w:t>spx_ret</w:t>
            </w:r>
          </w:p>
        </w:tc>
        <w:tc>
          <w:tcPr>
            <w:tcW w:w="2055" w:type="dxa"/>
            <w:vAlign w:val="center"/>
            <w:hideMark/>
          </w:tcPr>
          <w:p w14:paraId="6724B2FA" w14:textId="77777777" w:rsidR="008E7E89" w:rsidRPr="0043663A" w:rsidRDefault="008E7E89" w:rsidP="0043663A">
            <w:r w:rsidRPr="0043663A">
              <w:t>S&amp;P 500 weekly log return</w:t>
            </w:r>
          </w:p>
        </w:tc>
        <w:tc>
          <w:tcPr>
            <w:tcW w:w="980" w:type="dxa"/>
            <w:vAlign w:val="center"/>
            <w:hideMark/>
          </w:tcPr>
          <w:p w14:paraId="05F320F4" w14:textId="773480E5" w:rsidR="008E7E89" w:rsidRPr="0043663A" w:rsidRDefault="008E7E89" w:rsidP="0043663A">
            <w:r w:rsidRPr="0043663A">
              <w:t xml:space="preserve">Numeric </w:t>
            </w:r>
          </w:p>
        </w:tc>
        <w:tc>
          <w:tcPr>
            <w:tcW w:w="0" w:type="auto"/>
            <w:vAlign w:val="center"/>
            <w:hideMark/>
          </w:tcPr>
          <w:p w14:paraId="5B43D4FB" w14:textId="371015FF" w:rsidR="008E7E89" w:rsidRPr="0043663A" w:rsidRDefault="00416D53" w:rsidP="0043663A">
            <w:pPr>
              <w:jc w:val="center"/>
            </w:pPr>
            <w:r w:rsidRPr="0043663A">
              <w:t>%</w:t>
            </w:r>
          </w:p>
        </w:tc>
        <w:tc>
          <w:tcPr>
            <w:tcW w:w="0" w:type="auto"/>
            <w:vAlign w:val="center"/>
            <w:hideMark/>
          </w:tcPr>
          <w:p w14:paraId="544E7EB1" w14:textId="77777777" w:rsidR="008E7E89" w:rsidRPr="0043663A" w:rsidRDefault="008E7E89" w:rsidP="0043663A">
            <m:oMath>
              <m:r>
                <w:rPr>
                  <w:rFonts w:ascii="Cambria Math" w:hAnsi="Cambria Math"/>
                </w:rPr>
                <m:t>100×[</m:t>
              </m:r>
              <m:r>
                <m:rPr>
                  <m:sty m:val="p"/>
                </m:rPr>
                <w:rPr>
                  <w:rFonts w:ascii="Cambria Math" w:hAnsi="Cambria Math"/>
                </w:rPr>
                <m:t>ln</m:t>
              </m:r>
              <m:r>
                <w:rPr>
                  <w:rFonts w:ascii="Cambria Math" w:hAnsi="Cambria Math"/>
                </w:rPr>
                <m:t>⁡(SP</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⁡(SP</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oMath>
            <w:r w:rsidRPr="0043663A">
              <w:t>. Controls for market performance.</w:t>
            </w:r>
          </w:p>
        </w:tc>
      </w:tr>
      <w:tr w:rsidR="00416D53" w:rsidRPr="0043663A" w14:paraId="56A38855" w14:textId="77777777" w:rsidTr="00416D53">
        <w:trPr>
          <w:tblCellSpacing w:w="15" w:type="dxa"/>
        </w:trPr>
        <w:tc>
          <w:tcPr>
            <w:tcW w:w="0" w:type="auto"/>
            <w:vAlign w:val="center"/>
            <w:hideMark/>
          </w:tcPr>
          <w:p w14:paraId="7B3AD739" w14:textId="77777777" w:rsidR="008E7E89" w:rsidRPr="0043663A" w:rsidRDefault="008E7E89" w:rsidP="0043663A">
            <w:r w:rsidRPr="0043663A">
              <w:rPr>
                <w:rStyle w:val="Strong"/>
              </w:rPr>
              <w:t>term_spread</w:t>
            </w:r>
          </w:p>
        </w:tc>
        <w:tc>
          <w:tcPr>
            <w:tcW w:w="2055" w:type="dxa"/>
            <w:vAlign w:val="center"/>
            <w:hideMark/>
          </w:tcPr>
          <w:p w14:paraId="1B5FACA8" w14:textId="6F5DBE7B" w:rsidR="008E7E89" w:rsidRPr="0043663A" w:rsidRDefault="008E7E89" w:rsidP="0043663A">
            <w:r w:rsidRPr="0043663A">
              <w:t>10-Year minus 3-Month Treasury yield</w:t>
            </w:r>
          </w:p>
        </w:tc>
        <w:tc>
          <w:tcPr>
            <w:tcW w:w="980" w:type="dxa"/>
            <w:vAlign w:val="center"/>
            <w:hideMark/>
          </w:tcPr>
          <w:p w14:paraId="406F61C1" w14:textId="3441D118" w:rsidR="008E7E89" w:rsidRPr="0043663A" w:rsidRDefault="008E7E89" w:rsidP="0043663A">
            <w:r w:rsidRPr="0043663A">
              <w:t xml:space="preserve">Numeric </w:t>
            </w:r>
          </w:p>
        </w:tc>
        <w:tc>
          <w:tcPr>
            <w:tcW w:w="0" w:type="auto"/>
            <w:vAlign w:val="center"/>
            <w:hideMark/>
          </w:tcPr>
          <w:p w14:paraId="0C05EFD9" w14:textId="77777777" w:rsidR="008E7E89" w:rsidRPr="0043663A" w:rsidRDefault="008E7E89" w:rsidP="0043663A">
            <w:pPr>
              <w:jc w:val="center"/>
            </w:pPr>
            <w:r w:rsidRPr="0043663A">
              <w:t>Basis points</w:t>
            </w:r>
          </w:p>
        </w:tc>
        <w:tc>
          <w:tcPr>
            <w:tcW w:w="0" w:type="auto"/>
            <w:vAlign w:val="center"/>
            <w:hideMark/>
          </w:tcPr>
          <w:p w14:paraId="5ACF1D4A" w14:textId="77777777" w:rsidR="008E7E89" w:rsidRPr="0043663A" w:rsidRDefault="008E7E89" w:rsidP="0043663A">
            <m:oMath>
              <m:r>
                <w:rPr>
                  <w:rFonts w:ascii="Cambria Math" w:hAnsi="Cambria Math"/>
                </w:rPr>
                <m:t>US10Y</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-US3</m:t>
              </m:r>
              <m:sSub>
                <m:sSubPr>
                  <m:ctrlPr>
                    <w:rPr>
                      <w:rFonts w:ascii="Cambria Math" w:hAnsi="Cambria Math"/>
                    </w:rPr>
                  </m:ctrlPr>
                </m:sSubPr>
                <m:e>
                  <m:r>
                    <w:rPr>
                      <w:rFonts w:ascii="Cambria Math" w:hAnsi="Cambria Math"/>
                    </w:rPr>
                    <m:t>M</m:t>
                  </m:r>
                </m:e>
                <m:sub>
                  <m:r>
                    <w:rPr>
                      <w:rFonts w:ascii="Cambria Math" w:hAnsi="Cambria Math"/>
                    </w:rPr>
                    <m:t>t</m:t>
                  </m:r>
                </m:sub>
              </m:sSub>
            </m:oMath>
            <w:r w:rsidRPr="0043663A">
              <w:t>. Captures monetary policy stance.</w:t>
            </w:r>
          </w:p>
        </w:tc>
      </w:tr>
      <w:tr w:rsidR="00416D53" w:rsidRPr="0043663A" w14:paraId="4CE20352" w14:textId="77777777" w:rsidTr="00416D53">
        <w:trPr>
          <w:trHeight w:val="1284"/>
          <w:tblCellSpacing w:w="15" w:type="dxa"/>
        </w:trPr>
        <w:tc>
          <w:tcPr>
            <w:tcW w:w="0" w:type="auto"/>
            <w:tcBorders>
              <w:bottom w:val="single" w:sz="4" w:space="0" w:color="auto"/>
            </w:tcBorders>
            <w:vAlign w:val="center"/>
            <w:hideMark/>
          </w:tcPr>
          <w:p w14:paraId="5AB206A9" w14:textId="77777777" w:rsidR="008E7E89" w:rsidRPr="0043663A" w:rsidRDefault="008E7E89" w:rsidP="0043663A">
            <w:r w:rsidRPr="0043663A">
              <w:rPr>
                <w:rStyle w:val="Strong"/>
              </w:rPr>
              <w:t>credit_spread</w:t>
            </w:r>
          </w:p>
        </w:tc>
        <w:tc>
          <w:tcPr>
            <w:tcW w:w="2055" w:type="dxa"/>
            <w:tcBorders>
              <w:bottom w:val="single" w:sz="4" w:space="0" w:color="auto"/>
            </w:tcBorders>
            <w:vAlign w:val="center"/>
            <w:hideMark/>
          </w:tcPr>
          <w:p w14:paraId="7AB65CCE" w14:textId="7A6163A6" w:rsidR="008E7E89" w:rsidRPr="0043663A" w:rsidRDefault="008E7E89" w:rsidP="0043663A">
            <w:r w:rsidRPr="0043663A">
              <w:t>Moody’s Baa minus Aaa corporate yield</w:t>
            </w:r>
          </w:p>
        </w:tc>
        <w:tc>
          <w:tcPr>
            <w:tcW w:w="980" w:type="dxa"/>
            <w:tcBorders>
              <w:bottom w:val="single" w:sz="4" w:space="0" w:color="auto"/>
            </w:tcBorders>
            <w:vAlign w:val="center"/>
            <w:hideMark/>
          </w:tcPr>
          <w:p w14:paraId="41133BC1" w14:textId="5BFF61F4" w:rsidR="008E7E89" w:rsidRPr="0043663A" w:rsidRDefault="008E7E89" w:rsidP="0043663A">
            <w:r w:rsidRPr="0043663A">
              <w:t xml:space="preserve">Numeric </w:t>
            </w:r>
          </w:p>
        </w:tc>
        <w:tc>
          <w:tcPr>
            <w:tcW w:w="0" w:type="auto"/>
            <w:tcBorders>
              <w:bottom w:val="single" w:sz="4" w:space="0" w:color="auto"/>
            </w:tcBorders>
            <w:vAlign w:val="center"/>
            <w:hideMark/>
          </w:tcPr>
          <w:p w14:paraId="19E82AC4" w14:textId="77777777" w:rsidR="008E7E89" w:rsidRPr="0043663A" w:rsidRDefault="008E7E89" w:rsidP="0043663A">
            <w:pPr>
              <w:jc w:val="center"/>
            </w:pPr>
            <w:r w:rsidRPr="0043663A">
              <w:t>Basis points</w:t>
            </w:r>
          </w:p>
        </w:tc>
        <w:tc>
          <w:tcPr>
            <w:tcW w:w="0" w:type="auto"/>
            <w:tcBorders>
              <w:bottom w:val="single" w:sz="4" w:space="0" w:color="auto"/>
            </w:tcBorders>
            <w:vAlign w:val="center"/>
            <w:hideMark/>
          </w:tcPr>
          <w:p w14:paraId="7ABD57E6" w14:textId="77777777" w:rsidR="008E7E89" w:rsidRPr="0043663A" w:rsidRDefault="008E7E89" w:rsidP="0043663A">
            <m:oMath>
              <m:r>
                <w:rPr>
                  <w:rFonts w:ascii="Cambria Math" w:hAnsi="Cambria Math"/>
                </w:rPr>
                <m:t>CBA</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-CAA</m:t>
              </m:r>
              <m:sSub>
                <m:sSubPr>
                  <m:ctrlPr>
                    <w:rPr>
                      <w:rFonts w:ascii="Cambria Math" w:hAnsi="Cambria Math"/>
                    </w:rPr>
                  </m:ctrlPr>
                </m:sSubPr>
                <m:e>
                  <m:r>
                    <w:rPr>
                      <w:rFonts w:ascii="Cambria Math" w:hAnsi="Cambria Math"/>
                    </w:rPr>
                    <m:t>A</m:t>
                  </m:r>
                </m:e>
                <m:sub>
                  <m:r>
                    <w:rPr>
                      <w:rFonts w:ascii="Cambria Math" w:hAnsi="Cambria Math"/>
                    </w:rPr>
                    <m:t>t</m:t>
                  </m:r>
                </m:sub>
              </m:sSub>
            </m:oMath>
            <w:r w:rsidRPr="0043663A">
              <w:t>. Proxy for credit market risk.</w:t>
            </w:r>
          </w:p>
        </w:tc>
      </w:tr>
    </w:tbl>
    <w:p w14:paraId="53DE9AAD" w14:textId="77777777" w:rsidR="0043663A" w:rsidRPr="0043663A" w:rsidRDefault="0043663A" w:rsidP="0043663A">
      <w:pPr>
        <w:pStyle w:val="NormalWeb"/>
        <w:numPr>
          <w:ilvl w:val="0"/>
          <w:numId w:val="35"/>
        </w:numPr>
        <w:spacing w:after="0" w:afterAutospacing="0" w:line="360" w:lineRule="auto"/>
        <w:rPr>
          <w:rFonts w:ascii="Garamond" w:hAnsi="Garamond"/>
          <w:b/>
          <w:bCs/>
          <w:color w:val="C00000"/>
        </w:rPr>
      </w:pPr>
      <w:r w:rsidRPr="0043663A">
        <w:rPr>
          <w:rFonts w:ascii="Garamond" w:hAnsi="Garamond"/>
          <w:b/>
          <w:bCs/>
          <w:color w:val="C00000"/>
        </w:rPr>
        <w:lastRenderedPageBreak/>
        <w:t>Data Processing Summary</w:t>
      </w:r>
    </w:p>
    <w:p w14:paraId="1DE0C4C1" w14:textId="77777777" w:rsidR="0043663A" w:rsidRPr="0043663A" w:rsidRDefault="0043663A" w:rsidP="0043663A">
      <w:pPr>
        <w:pStyle w:val="NormalWeb"/>
        <w:spacing w:before="0" w:beforeAutospacing="0" w:after="0" w:afterAutospacing="0" w:line="360" w:lineRule="auto"/>
        <w:ind w:firstLine="360"/>
        <w:rPr>
          <w:rFonts w:ascii="Garamond" w:hAnsi="Garamond"/>
          <w:color w:val="000000"/>
        </w:rPr>
      </w:pPr>
      <w:r w:rsidRPr="0043663A">
        <w:rPr>
          <w:rFonts w:ascii="Garamond" w:hAnsi="Garamond"/>
          <w:color w:val="000000"/>
        </w:rPr>
        <w:t>All data processing is performed in Processing&amp;Construction.do and follows these steps:</w:t>
      </w:r>
    </w:p>
    <w:p w14:paraId="52E8D4C9" w14:textId="77777777" w:rsidR="0043663A" w:rsidRPr="0043663A" w:rsidRDefault="0043663A" w:rsidP="0043663A">
      <w:pPr>
        <w:pStyle w:val="NormalWeb"/>
        <w:numPr>
          <w:ilvl w:val="0"/>
          <w:numId w:val="41"/>
        </w:numPr>
        <w:spacing w:before="0" w:beforeAutospacing="0" w:after="0" w:afterAutospacing="0" w:line="360" w:lineRule="auto"/>
        <w:rPr>
          <w:rFonts w:ascii="Garamond" w:hAnsi="Garamond"/>
          <w:color w:val="000000"/>
        </w:rPr>
      </w:pPr>
      <w:r w:rsidRPr="0043663A">
        <w:rPr>
          <w:rFonts w:ascii="Garamond" w:hAnsi="Garamond"/>
          <w:color w:val="000000"/>
        </w:rPr>
        <w:t>Import Bloomberg data from bloomberg_importable.xlsx.</w:t>
      </w:r>
    </w:p>
    <w:p w14:paraId="49381775" w14:textId="77777777" w:rsidR="0043663A" w:rsidRPr="0043663A" w:rsidRDefault="0043663A" w:rsidP="0043663A">
      <w:pPr>
        <w:pStyle w:val="NormalWeb"/>
        <w:numPr>
          <w:ilvl w:val="0"/>
          <w:numId w:val="41"/>
        </w:numPr>
        <w:spacing w:before="0" w:beforeAutospacing="0" w:after="0" w:afterAutospacing="0" w:line="360" w:lineRule="auto"/>
        <w:rPr>
          <w:rFonts w:ascii="Garamond" w:hAnsi="Garamond"/>
          <w:color w:val="000000"/>
        </w:rPr>
      </w:pPr>
      <w:r w:rsidRPr="0043663A">
        <w:rPr>
          <w:rFonts w:ascii="Garamond" w:hAnsi="Garamond"/>
          <w:color w:val="000000"/>
        </w:rPr>
        <w:t>Construct weekly S&amp;P 500 log returns.</w:t>
      </w:r>
    </w:p>
    <w:p w14:paraId="07E8C7B0" w14:textId="77777777" w:rsidR="0043663A" w:rsidRPr="0043663A" w:rsidRDefault="0043663A" w:rsidP="0043663A">
      <w:pPr>
        <w:pStyle w:val="NormalWeb"/>
        <w:numPr>
          <w:ilvl w:val="0"/>
          <w:numId w:val="41"/>
        </w:numPr>
        <w:spacing w:before="0" w:beforeAutospacing="0" w:after="0" w:afterAutospacing="0" w:line="360" w:lineRule="auto"/>
        <w:rPr>
          <w:rFonts w:ascii="Garamond" w:hAnsi="Garamond"/>
          <w:color w:val="000000"/>
        </w:rPr>
      </w:pPr>
      <w:r w:rsidRPr="0043663A">
        <w:rPr>
          <w:rFonts w:ascii="Garamond" w:hAnsi="Garamond"/>
          <w:color w:val="000000"/>
        </w:rPr>
        <w:t>Compute term and credit spreads.</w:t>
      </w:r>
    </w:p>
    <w:p w14:paraId="084158CC" w14:textId="77777777" w:rsidR="0043663A" w:rsidRPr="0043663A" w:rsidRDefault="0043663A" w:rsidP="0043663A">
      <w:pPr>
        <w:pStyle w:val="NormalWeb"/>
        <w:numPr>
          <w:ilvl w:val="0"/>
          <w:numId w:val="41"/>
        </w:numPr>
        <w:spacing w:before="0" w:beforeAutospacing="0" w:after="0" w:afterAutospacing="0" w:line="360" w:lineRule="auto"/>
        <w:rPr>
          <w:rFonts w:ascii="Garamond" w:hAnsi="Garamond"/>
          <w:color w:val="000000"/>
        </w:rPr>
      </w:pPr>
      <w:r w:rsidRPr="0043663A">
        <w:rPr>
          <w:rFonts w:ascii="Garamond" w:hAnsi="Garamond"/>
          <w:color w:val="000000"/>
        </w:rPr>
        <w:t>Reshape ETF prices from wide to long format.</w:t>
      </w:r>
    </w:p>
    <w:p w14:paraId="4DF843E1" w14:textId="77777777" w:rsidR="0043663A" w:rsidRPr="0043663A" w:rsidRDefault="0043663A" w:rsidP="0043663A">
      <w:pPr>
        <w:pStyle w:val="NormalWeb"/>
        <w:numPr>
          <w:ilvl w:val="0"/>
          <w:numId w:val="41"/>
        </w:numPr>
        <w:spacing w:before="0" w:beforeAutospacing="0" w:after="0" w:afterAutospacing="0" w:line="360" w:lineRule="auto"/>
        <w:rPr>
          <w:rFonts w:ascii="Garamond" w:hAnsi="Garamond"/>
          <w:color w:val="000000"/>
        </w:rPr>
      </w:pPr>
      <w:r w:rsidRPr="0043663A">
        <w:rPr>
          <w:rFonts w:ascii="Garamond" w:hAnsi="Garamond"/>
          <w:color w:val="000000"/>
        </w:rPr>
        <w:t>Compute ETF-level weekly log returns.</w:t>
      </w:r>
    </w:p>
    <w:p w14:paraId="4850EA4D" w14:textId="77777777" w:rsidR="0043663A" w:rsidRPr="0043663A" w:rsidRDefault="0043663A" w:rsidP="0043663A">
      <w:pPr>
        <w:pStyle w:val="NormalWeb"/>
        <w:numPr>
          <w:ilvl w:val="0"/>
          <w:numId w:val="41"/>
        </w:numPr>
        <w:spacing w:before="0" w:beforeAutospacing="0" w:after="0" w:afterAutospacing="0" w:line="360" w:lineRule="auto"/>
        <w:rPr>
          <w:rFonts w:ascii="Garamond" w:hAnsi="Garamond"/>
          <w:color w:val="000000"/>
        </w:rPr>
      </w:pPr>
      <w:r w:rsidRPr="0043663A">
        <w:rPr>
          <w:rFonts w:ascii="Garamond" w:hAnsi="Garamond"/>
          <w:color w:val="000000"/>
        </w:rPr>
        <w:t>Label variables and enforce consistent ordering.</w:t>
      </w:r>
    </w:p>
    <w:p w14:paraId="63396476" w14:textId="77777777" w:rsidR="0043663A" w:rsidRPr="0043663A" w:rsidRDefault="0043663A" w:rsidP="0043663A">
      <w:pPr>
        <w:pStyle w:val="NormalWeb"/>
        <w:numPr>
          <w:ilvl w:val="0"/>
          <w:numId w:val="41"/>
        </w:numPr>
        <w:spacing w:before="0" w:beforeAutospacing="0" w:after="0" w:afterAutospacing="0" w:line="360" w:lineRule="auto"/>
        <w:rPr>
          <w:rFonts w:ascii="Garamond" w:hAnsi="Garamond"/>
          <w:color w:val="000000"/>
        </w:rPr>
      </w:pPr>
      <w:r w:rsidRPr="0043663A">
        <w:rPr>
          <w:rFonts w:ascii="Garamond" w:hAnsi="Garamond"/>
          <w:color w:val="000000"/>
        </w:rPr>
        <w:t>Save the final dataset as analysis.dta.</w:t>
      </w:r>
    </w:p>
    <w:p w14:paraId="2BCFF090" w14:textId="77777777" w:rsidR="0043663A" w:rsidRDefault="0043663A" w:rsidP="0043663A">
      <w:pPr>
        <w:pStyle w:val="NormalWeb"/>
        <w:spacing w:before="0" w:beforeAutospacing="0" w:after="0" w:afterAutospacing="0" w:line="360" w:lineRule="auto"/>
        <w:ind w:firstLine="360"/>
        <w:rPr>
          <w:rFonts w:ascii="Garamond" w:hAnsi="Garamond"/>
          <w:color w:val="000000"/>
        </w:rPr>
      </w:pPr>
      <w:r w:rsidRPr="0043663A">
        <w:rPr>
          <w:rFonts w:ascii="Garamond" w:hAnsi="Garamond"/>
          <w:color w:val="000000"/>
        </w:rPr>
        <w:t>All transformations are deterministic and reproducible.</w:t>
      </w:r>
    </w:p>
    <w:p w14:paraId="44A98923" w14:textId="77777777" w:rsidR="0043663A" w:rsidRPr="0043663A" w:rsidRDefault="0043663A" w:rsidP="0043663A">
      <w:pPr>
        <w:pStyle w:val="NormalWeb"/>
        <w:spacing w:before="0" w:beforeAutospacing="0" w:after="0" w:afterAutospacing="0" w:line="360" w:lineRule="auto"/>
        <w:rPr>
          <w:rFonts w:ascii="Garamond" w:hAnsi="Garamond"/>
          <w:color w:val="000000"/>
        </w:rPr>
      </w:pPr>
    </w:p>
    <w:p w14:paraId="4D26C5A5" w14:textId="692AC4A4" w:rsidR="0043663A" w:rsidRPr="0043663A" w:rsidRDefault="0043663A" w:rsidP="0043663A">
      <w:pPr>
        <w:pStyle w:val="Heading2"/>
        <w:spacing w:after="0"/>
      </w:pPr>
      <w:r w:rsidRPr="0043663A">
        <w:t>Missing Data and Sample Restrictions</w:t>
      </w:r>
    </w:p>
    <w:p w14:paraId="0340E32A" w14:textId="0688ED51" w:rsidR="0043663A" w:rsidRDefault="0043663A" w:rsidP="0043663A">
      <w:pPr>
        <w:pStyle w:val="NormalWeb"/>
        <w:spacing w:before="0" w:beforeAutospacing="0" w:after="0" w:afterAutospacing="0" w:line="360" w:lineRule="auto"/>
        <w:ind w:firstLine="360"/>
        <w:rPr>
          <w:rFonts w:ascii="Garamond" w:hAnsi="Garamond"/>
          <w:color w:val="000000"/>
        </w:rPr>
      </w:pPr>
      <w:r w:rsidRPr="0043663A">
        <w:rPr>
          <w:rFonts w:ascii="Garamond" w:hAnsi="Garamond"/>
          <w:color w:val="000000"/>
        </w:rPr>
        <w:t>Weekly observations correspond to Friday closes or the most recent prior trading day when markets are closed due to holidays.</w:t>
      </w:r>
      <w:r>
        <w:rPr>
          <w:rFonts w:ascii="Garamond" w:hAnsi="Garamond"/>
          <w:color w:val="000000"/>
        </w:rPr>
        <w:t xml:space="preserve"> </w:t>
      </w:r>
      <w:r w:rsidRPr="0043663A">
        <w:rPr>
          <w:rFonts w:ascii="Garamond" w:hAnsi="Garamond"/>
          <w:color w:val="000000"/>
        </w:rPr>
        <w:t>The first observation for each ETF return series is mechanically missing due to log-difference construction and is dropped.</w:t>
      </w:r>
      <w:r>
        <w:rPr>
          <w:rFonts w:ascii="Garamond" w:hAnsi="Garamond"/>
          <w:color w:val="000000"/>
        </w:rPr>
        <w:t xml:space="preserve"> </w:t>
      </w:r>
      <w:r w:rsidRPr="0043663A">
        <w:rPr>
          <w:rFonts w:ascii="Garamond" w:hAnsi="Garamond"/>
          <w:color w:val="000000"/>
        </w:rPr>
        <w:t>No additional missing values remain in the final dataset.</w:t>
      </w:r>
      <w:r>
        <w:rPr>
          <w:rFonts w:ascii="Garamond" w:hAnsi="Garamond"/>
          <w:color w:val="000000"/>
        </w:rPr>
        <w:t xml:space="preserve"> </w:t>
      </w:r>
      <w:r w:rsidRPr="0043663A">
        <w:rPr>
          <w:rFonts w:ascii="Garamond" w:hAnsi="Garamond"/>
          <w:color w:val="000000"/>
        </w:rPr>
        <w:t>No winsorization, trimming, or outlier adjustment is applied; all results are based on raw data.</w:t>
      </w:r>
    </w:p>
    <w:p w14:paraId="30EF8603" w14:textId="77777777" w:rsidR="0043663A" w:rsidRPr="0043663A" w:rsidRDefault="0043663A" w:rsidP="0043663A">
      <w:pPr>
        <w:pStyle w:val="NormalWeb"/>
        <w:spacing w:before="0" w:beforeAutospacing="0" w:after="0" w:afterAutospacing="0" w:line="360" w:lineRule="auto"/>
        <w:ind w:firstLine="360"/>
        <w:rPr>
          <w:rFonts w:ascii="Garamond" w:hAnsi="Garamond"/>
          <w:color w:val="000000"/>
        </w:rPr>
      </w:pPr>
    </w:p>
    <w:p w14:paraId="6B5761A7" w14:textId="61569292" w:rsidR="0043663A" w:rsidRPr="0043663A" w:rsidRDefault="0043663A" w:rsidP="0043663A">
      <w:pPr>
        <w:pStyle w:val="Heading2"/>
        <w:spacing w:after="0"/>
      </w:pPr>
      <w:r w:rsidRPr="0043663A">
        <w:t>Intended Use and Limitations</w:t>
      </w:r>
    </w:p>
    <w:p w14:paraId="40F905B7" w14:textId="5207EFB3" w:rsidR="0043663A" w:rsidRPr="0043663A" w:rsidRDefault="0043663A" w:rsidP="0043663A">
      <w:pPr>
        <w:pStyle w:val="NormalWeb"/>
        <w:spacing w:before="0" w:beforeAutospacing="0" w:after="0" w:afterAutospacing="0" w:line="360" w:lineRule="auto"/>
        <w:ind w:firstLine="360"/>
        <w:rPr>
          <w:rFonts w:ascii="Garamond" w:hAnsi="Garamond"/>
          <w:color w:val="000000"/>
        </w:rPr>
      </w:pPr>
      <w:r w:rsidRPr="0043663A">
        <w:rPr>
          <w:rFonts w:ascii="Garamond" w:hAnsi="Garamond"/>
          <w:color w:val="000000"/>
        </w:rPr>
        <w:t>The dataset is designed for panel econometric analysis of how market sentiment affects ETF returns, controlling for macro-financial conditions. It supports fixed-effects, random-effects, and pooled regression frameworks with robust or clustered standard errors.</w:t>
      </w:r>
      <w:r>
        <w:rPr>
          <w:rFonts w:ascii="Garamond" w:hAnsi="Garamond"/>
          <w:color w:val="000000"/>
        </w:rPr>
        <w:t xml:space="preserve"> </w:t>
      </w:r>
      <w:r w:rsidRPr="0043663A">
        <w:rPr>
          <w:rFonts w:ascii="Garamond" w:hAnsi="Garamond"/>
          <w:color w:val="000000"/>
        </w:rPr>
        <w:t>Key limitations include:</w:t>
      </w:r>
    </w:p>
    <w:p w14:paraId="2C5D0A5C" w14:textId="77777777" w:rsidR="0043663A" w:rsidRPr="0043663A" w:rsidRDefault="0043663A" w:rsidP="0043663A">
      <w:pPr>
        <w:pStyle w:val="NormalWeb"/>
        <w:numPr>
          <w:ilvl w:val="0"/>
          <w:numId w:val="43"/>
        </w:numPr>
        <w:spacing w:before="0" w:beforeAutospacing="0" w:after="0" w:afterAutospacing="0" w:line="360" w:lineRule="auto"/>
        <w:rPr>
          <w:rFonts w:ascii="Garamond" w:hAnsi="Garamond"/>
          <w:color w:val="000000"/>
        </w:rPr>
      </w:pPr>
      <w:r w:rsidRPr="0043663A">
        <w:rPr>
          <w:rFonts w:ascii="Garamond" w:hAnsi="Garamond"/>
          <w:color w:val="000000"/>
        </w:rPr>
        <w:t>Sentiment is proxied using U.S. implied volatility (VIX), which may imperfectly capture sentiment affecting international ETFs.</w:t>
      </w:r>
    </w:p>
    <w:p w14:paraId="08632CD7" w14:textId="77777777" w:rsidR="0043663A" w:rsidRPr="0043663A" w:rsidRDefault="0043663A" w:rsidP="0043663A">
      <w:pPr>
        <w:pStyle w:val="NormalWeb"/>
        <w:numPr>
          <w:ilvl w:val="0"/>
          <w:numId w:val="43"/>
        </w:numPr>
        <w:spacing w:before="0" w:beforeAutospacing="0" w:after="0" w:afterAutospacing="0" w:line="360" w:lineRule="auto"/>
        <w:rPr>
          <w:rFonts w:ascii="Garamond" w:hAnsi="Garamond"/>
          <w:color w:val="000000"/>
        </w:rPr>
      </w:pPr>
      <w:r w:rsidRPr="0043663A">
        <w:rPr>
          <w:rFonts w:ascii="Garamond" w:hAnsi="Garamond"/>
          <w:color w:val="000000"/>
        </w:rPr>
        <w:t>Weekly frequency limits inference on intraday or high-frequency dynamics.</w:t>
      </w:r>
    </w:p>
    <w:p w14:paraId="5FBBD72C" w14:textId="32DE9F0D" w:rsidR="0043663A" w:rsidRPr="0043663A" w:rsidRDefault="0043663A" w:rsidP="0043663A">
      <w:pPr>
        <w:pStyle w:val="NormalWeb"/>
        <w:spacing w:before="0" w:beforeAutospacing="0" w:after="0" w:afterAutospacing="0" w:line="360" w:lineRule="auto"/>
        <w:rPr>
          <w:rFonts w:ascii="Garamond" w:hAnsi="Garamond"/>
          <w:color w:val="000000"/>
        </w:rPr>
      </w:pPr>
    </w:p>
    <w:p w14:paraId="443A8D20" w14:textId="2188975B" w:rsidR="0043663A" w:rsidRPr="0043663A" w:rsidRDefault="0043663A" w:rsidP="0043663A">
      <w:pPr>
        <w:pStyle w:val="Heading2"/>
        <w:spacing w:after="0"/>
      </w:pPr>
      <w:r w:rsidRPr="0043663A">
        <w:t>Replication Compatibility</w:t>
      </w:r>
    </w:p>
    <w:p w14:paraId="492D896F" w14:textId="45D0449D" w:rsidR="0043663A" w:rsidRPr="0043663A" w:rsidRDefault="0043663A" w:rsidP="0043663A">
      <w:pPr>
        <w:pStyle w:val="NormalWeb"/>
        <w:spacing w:before="0" w:beforeAutospacing="0" w:after="0" w:afterAutospacing="0" w:line="360" w:lineRule="auto"/>
        <w:rPr>
          <w:rFonts w:ascii="Garamond" w:hAnsi="Garamond"/>
          <w:color w:val="000000"/>
        </w:rPr>
      </w:pPr>
      <w:r w:rsidRPr="0043663A">
        <w:rPr>
          <w:rFonts w:ascii="Garamond" w:hAnsi="Garamond"/>
          <w:color w:val="000000"/>
        </w:rPr>
        <w:t>The dataset is designed for use with</w:t>
      </w:r>
      <w:r>
        <w:rPr>
          <w:rFonts w:ascii="Garamond" w:hAnsi="Garamond"/>
          <w:color w:val="000000"/>
        </w:rPr>
        <w:t xml:space="preserve"> </w:t>
      </w:r>
      <w:r w:rsidRPr="0043663A">
        <w:rPr>
          <w:rFonts w:ascii="Garamond" w:hAnsi="Garamond"/>
          <w:color w:val="000000"/>
        </w:rPr>
        <w:t>Analysis.do</w:t>
      </w:r>
      <w:r>
        <w:rPr>
          <w:rFonts w:ascii="Garamond" w:hAnsi="Garamond"/>
          <w:color w:val="000000"/>
        </w:rPr>
        <w:t xml:space="preserve"> via </w:t>
      </w:r>
      <w:r w:rsidRPr="0043663A">
        <w:rPr>
          <w:rFonts w:ascii="Garamond" w:hAnsi="Garamond"/>
          <w:color w:val="000000"/>
        </w:rPr>
        <w:t>Stata BE, Version 18</w:t>
      </w:r>
      <w:r>
        <w:rPr>
          <w:rFonts w:ascii="Garamond" w:hAnsi="Garamond"/>
          <w:color w:val="000000"/>
        </w:rPr>
        <w:t xml:space="preserve">. </w:t>
      </w:r>
      <w:r w:rsidRPr="0043663A">
        <w:rPr>
          <w:rFonts w:ascii="Garamond" w:hAnsi="Garamond"/>
          <w:color w:val="000000"/>
        </w:rPr>
        <w:t>No manual intervention is required after construction.</w:t>
      </w:r>
    </w:p>
    <w:p w14:paraId="62E510C0" w14:textId="77777777" w:rsidR="0043663A" w:rsidRPr="0043663A" w:rsidRDefault="0043663A" w:rsidP="0043663A">
      <w:pPr>
        <w:pStyle w:val="NormalWeb"/>
        <w:spacing w:before="0" w:beforeAutospacing="0" w:after="0" w:afterAutospacing="0" w:line="360" w:lineRule="auto"/>
        <w:rPr>
          <w:rFonts w:ascii="Garamond" w:hAnsi="Garamond"/>
          <w:color w:val="000000"/>
        </w:rPr>
      </w:pPr>
    </w:p>
    <w:p w14:paraId="2B1BE64D" w14:textId="688866DA" w:rsidR="008E7E89" w:rsidRPr="0043663A" w:rsidRDefault="008E7E89" w:rsidP="0043663A">
      <w:pPr>
        <w:pStyle w:val="NormalWeb"/>
        <w:spacing w:before="0" w:beforeAutospacing="0" w:after="0" w:afterAutospacing="0" w:line="360" w:lineRule="auto"/>
        <w:rPr>
          <w:rFonts w:ascii="Garamond" w:hAnsi="Garamond"/>
        </w:rPr>
      </w:pPr>
    </w:p>
    <w:sectPr w:rsidR="008E7E89" w:rsidRPr="0043663A" w:rsidSect="007F3683">
      <w:headerReference w:type="default" r:id="rId8"/>
      <w:footerReference w:type="default" r:id="rId9"/>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AA0B0" w14:textId="77777777" w:rsidR="003945F4" w:rsidRDefault="003945F4" w:rsidP="00CF4BE2">
      <w:r>
        <w:separator/>
      </w:r>
    </w:p>
  </w:endnote>
  <w:endnote w:type="continuationSeparator" w:id="0">
    <w:p w14:paraId="3C77EF83" w14:textId="77777777" w:rsidR="003945F4" w:rsidRDefault="003945F4" w:rsidP="00CF4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D5D0F" w14:textId="77777777" w:rsidR="002977DB" w:rsidRDefault="003945F4" w:rsidP="00CF4BE2">
    <w:pPr>
      <w:pStyle w:val="Footer"/>
      <w:rPr>
        <w:color w:val="000000" w:themeColor="text1"/>
      </w:rPr>
    </w:pPr>
    <w:r>
      <w:rPr>
        <w:noProof/>
      </w:rPr>
      <w:pict w14:anchorId="49747095">
        <v:rect id="_x0000_i1025" alt="" style="width:468pt;height:.05pt;mso-width-percent:0;mso-height-percent:0;mso-width-percent:0;mso-height-percent:0" o:hralign="center" o:hrstd="t" o:hr="t" fillcolor="#a0a0a0" stroked="f"/>
      </w:pict>
    </w:r>
  </w:p>
  <w:p w14:paraId="0DCAE869" w14:textId="50018237" w:rsidR="000219F0" w:rsidRPr="002977DB" w:rsidRDefault="002977DB" w:rsidP="003D32C5">
    <w:pPr>
      <w:pStyle w:val="Footer"/>
      <w:jc w:val="right"/>
    </w:pPr>
    <w:r w:rsidRPr="002977DB">
      <w:t xml:space="preserve">Page </w:t>
    </w:r>
    <w:r w:rsidRPr="003D32C5">
      <w:rPr>
        <w:b/>
        <w:bCs/>
      </w:rPr>
      <w:fldChar w:fldCharType="begin"/>
    </w:r>
    <w:r w:rsidRPr="003D32C5">
      <w:rPr>
        <w:b/>
        <w:bCs/>
      </w:rPr>
      <w:instrText xml:space="preserve"> PAGE  \* Arabic  \* MERGEFORMAT </w:instrText>
    </w:r>
    <w:r w:rsidRPr="003D32C5">
      <w:rPr>
        <w:b/>
        <w:bCs/>
      </w:rPr>
      <w:fldChar w:fldCharType="separate"/>
    </w:r>
    <w:r w:rsidRPr="003D32C5">
      <w:rPr>
        <w:b/>
        <w:bCs/>
        <w:noProof/>
      </w:rPr>
      <w:t>2</w:t>
    </w:r>
    <w:r w:rsidRPr="003D32C5">
      <w:rPr>
        <w:b/>
        <w:bCs/>
      </w:rPr>
      <w:fldChar w:fldCharType="end"/>
    </w:r>
    <w:r w:rsidRPr="002977DB">
      <w:t xml:space="preserve"> of </w:t>
    </w:r>
    <w:r w:rsidRPr="003D32C5">
      <w:rPr>
        <w:b/>
        <w:bCs/>
      </w:rPr>
      <w:fldChar w:fldCharType="begin"/>
    </w:r>
    <w:r w:rsidRPr="003D32C5">
      <w:rPr>
        <w:b/>
        <w:bCs/>
      </w:rPr>
      <w:instrText xml:space="preserve"> NUMPAGES  \* Arabic  \* MERGEFORMAT </w:instrText>
    </w:r>
    <w:r w:rsidRPr="003D32C5">
      <w:rPr>
        <w:b/>
        <w:bCs/>
      </w:rPr>
      <w:fldChar w:fldCharType="separate"/>
    </w:r>
    <w:r w:rsidRPr="003D32C5">
      <w:rPr>
        <w:b/>
        <w:bCs/>
        <w:noProof/>
      </w:rPr>
      <w:t>2</w:t>
    </w:r>
    <w:r w:rsidRPr="003D32C5">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FFA84" w14:textId="77777777" w:rsidR="003945F4" w:rsidRDefault="003945F4" w:rsidP="00CF4BE2">
      <w:r>
        <w:separator/>
      </w:r>
    </w:p>
  </w:footnote>
  <w:footnote w:type="continuationSeparator" w:id="0">
    <w:p w14:paraId="00A68210" w14:textId="77777777" w:rsidR="003945F4" w:rsidRDefault="003945F4" w:rsidP="00CF4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2388B" w14:textId="24F9D9A1" w:rsidR="000219F0" w:rsidRPr="007F3683" w:rsidRDefault="00F35EDF" w:rsidP="00CF4BE2">
    <w:pPr>
      <w:rPr>
        <w:rFonts w:eastAsia="Cambria" w:cs="Cambria"/>
      </w:rPr>
    </w:pPr>
    <w:r w:rsidRPr="007F3683">
      <w:t xml:space="preserve">ECON </w:t>
    </w:r>
    <w:r w:rsidR="007F3683" w:rsidRPr="007F3683">
      <w:t>46</w:t>
    </w:r>
    <w:r w:rsidRPr="007F3683">
      <w:t>7: Econometrics</w:t>
    </w:r>
    <w:r w:rsidR="007F3683" w:rsidRPr="007F3683">
      <w:t xml:space="preserve"> II</w:t>
    </w:r>
    <w:r w:rsidR="003D32C5">
      <w:tab/>
    </w:r>
    <w:r w:rsidR="003D32C5">
      <w:tab/>
    </w:r>
    <w:r w:rsidR="003D32C5">
      <w:tab/>
    </w:r>
    <w:r w:rsidR="003D32C5">
      <w:tab/>
    </w:r>
    <w:r w:rsidR="003D32C5">
      <w:tab/>
    </w:r>
    <w:r w:rsidR="003D32C5">
      <w:tab/>
    </w:r>
    <w:r w:rsidR="003D32C5">
      <w:tab/>
    </w:r>
    <w:r w:rsidR="003D32C5">
      <w:tab/>
      <w:t xml:space="preserve">     Anthony Le</w:t>
    </w:r>
    <w:r w:rsidR="003945F4">
      <w:rPr>
        <w:noProof/>
      </w:rPr>
      <w:pict w14:anchorId="53737290">
        <v:rect id="_x0000_i1026" alt="" style="width:468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026"/>
    <w:multiLevelType w:val="multilevel"/>
    <w:tmpl w:val="6988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07F31"/>
    <w:multiLevelType w:val="hybridMultilevel"/>
    <w:tmpl w:val="811458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65AC8"/>
    <w:multiLevelType w:val="hybridMultilevel"/>
    <w:tmpl w:val="84D215DA"/>
    <w:lvl w:ilvl="0" w:tplc="850A6F34">
      <w:start w:val="1"/>
      <w:numFmt w:val="bullet"/>
      <w:lvlText w:val="-"/>
      <w:lvlJc w:val="left"/>
      <w:pPr>
        <w:ind w:left="720" w:hanging="360"/>
      </w:pPr>
      <w:rPr>
        <w:rFonts w:ascii="Garamond" w:eastAsia="Cambria" w:hAnsi="Garamond"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15F5C"/>
    <w:multiLevelType w:val="multilevel"/>
    <w:tmpl w:val="22F8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85298"/>
    <w:multiLevelType w:val="hybridMultilevel"/>
    <w:tmpl w:val="DA7C7E1A"/>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F76F3A"/>
    <w:multiLevelType w:val="hybridMultilevel"/>
    <w:tmpl w:val="C3EE0E8A"/>
    <w:lvl w:ilvl="0" w:tplc="0690FE84">
      <w:start w:val="1"/>
      <w:numFmt w:val="low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F6D03ED"/>
    <w:multiLevelType w:val="hybridMultilevel"/>
    <w:tmpl w:val="C0226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2D6C8D"/>
    <w:multiLevelType w:val="hybridMultilevel"/>
    <w:tmpl w:val="068EE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241211"/>
    <w:multiLevelType w:val="hybridMultilevel"/>
    <w:tmpl w:val="ECC856AC"/>
    <w:lvl w:ilvl="0" w:tplc="9684E54A">
      <w:start w:val="1"/>
      <w:numFmt w:val="upperRoman"/>
      <w:pStyle w:val="Heading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3B04CF"/>
    <w:multiLevelType w:val="hybridMultilevel"/>
    <w:tmpl w:val="3F0E91A2"/>
    <w:lvl w:ilvl="0" w:tplc="850A6F34">
      <w:start w:val="1"/>
      <w:numFmt w:val="bullet"/>
      <w:lvlText w:val="-"/>
      <w:lvlJc w:val="left"/>
      <w:pPr>
        <w:ind w:left="1080" w:hanging="360"/>
      </w:pPr>
      <w:rPr>
        <w:rFonts w:ascii="Garamond" w:eastAsia="Cambria" w:hAnsi="Garamond" w:cs="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AF3C0F"/>
    <w:multiLevelType w:val="hybridMultilevel"/>
    <w:tmpl w:val="AD70400C"/>
    <w:lvl w:ilvl="0" w:tplc="6E9AA6A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4D2A76"/>
    <w:multiLevelType w:val="multilevel"/>
    <w:tmpl w:val="3294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628BB"/>
    <w:multiLevelType w:val="hybridMultilevel"/>
    <w:tmpl w:val="DA7C7E1A"/>
    <w:lvl w:ilvl="0" w:tplc="4986128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74624A"/>
    <w:multiLevelType w:val="hybridMultilevel"/>
    <w:tmpl w:val="65A4A668"/>
    <w:lvl w:ilvl="0" w:tplc="DA629A06">
      <w:start w:val="2"/>
      <w:numFmt w:val="bullet"/>
      <w:lvlText w:val="-"/>
      <w:lvlJc w:val="left"/>
      <w:pPr>
        <w:ind w:left="1080" w:hanging="360"/>
      </w:pPr>
      <w:rPr>
        <w:rFonts w:ascii="Garamond" w:eastAsia="Cambria" w:hAnsi="Garamond" w:cs="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4823C3E"/>
    <w:multiLevelType w:val="hybridMultilevel"/>
    <w:tmpl w:val="C21418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667710E"/>
    <w:multiLevelType w:val="multilevel"/>
    <w:tmpl w:val="0F30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970E6"/>
    <w:multiLevelType w:val="multilevel"/>
    <w:tmpl w:val="FBB2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06B04"/>
    <w:multiLevelType w:val="multilevel"/>
    <w:tmpl w:val="9680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D466C"/>
    <w:multiLevelType w:val="hybridMultilevel"/>
    <w:tmpl w:val="E4BE112A"/>
    <w:lvl w:ilvl="0" w:tplc="42668DA2">
      <w:start w:val="79"/>
      <w:numFmt w:val="bullet"/>
      <w:lvlText w:val="-"/>
      <w:lvlJc w:val="left"/>
      <w:pPr>
        <w:ind w:left="720" w:hanging="360"/>
      </w:pPr>
      <w:rPr>
        <w:rFonts w:ascii="Cambria" w:eastAsia="Arial"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B8264F"/>
    <w:multiLevelType w:val="multilevel"/>
    <w:tmpl w:val="CF36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E09DA"/>
    <w:multiLevelType w:val="multilevel"/>
    <w:tmpl w:val="46CA1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AF383E"/>
    <w:multiLevelType w:val="multilevel"/>
    <w:tmpl w:val="DDDA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5E61F0"/>
    <w:multiLevelType w:val="multilevel"/>
    <w:tmpl w:val="21B0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64D6A"/>
    <w:multiLevelType w:val="hybridMultilevel"/>
    <w:tmpl w:val="17325D28"/>
    <w:lvl w:ilvl="0" w:tplc="62C6DEF0">
      <w:start w:val="1"/>
      <w:numFmt w:val="low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750E2F"/>
    <w:multiLevelType w:val="hybridMultilevel"/>
    <w:tmpl w:val="813682C6"/>
    <w:lvl w:ilvl="0" w:tplc="4F40D7FC">
      <w:start w:val="1"/>
      <w:numFmt w:val="decimal"/>
      <w:pStyle w:val="Heading2"/>
      <w:lvlText w:val="%1."/>
      <w:lvlJc w:val="left"/>
      <w:pPr>
        <w:ind w:left="360" w:hanging="360"/>
      </w:pPr>
      <w:rPr>
        <w:rFonts w:hint="default"/>
        <w:b/>
        <w:bCs/>
        <w:color w:val="C00000"/>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8CA407F"/>
    <w:multiLevelType w:val="hybridMultilevel"/>
    <w:tmpl w:val="B0B6A65C"/>
    <w:lvl w:ilvl="0" w:tplc="A09E5650">
      <w:start w:val="1"/>
      <w:numFmt w:val="lowerLetter"/>
      <w:lvlText w:val="%1."/>
      <w:lvlJc w:val="left"/>
      <w:pPr>
        <w:ind w:left="720" w:hanging="360"/>
      </w:pPr>
      <w:rPr>
        <w:rFonts w:hint="default"/>
        <w:b/>
        <w:i/>
        <w:color w:val="1F497D" w:themeColor="tex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2D099E"/>
    <w:multiLevelType w:val="hybridMultilevel"/>
    <w:tmpl w:val="35AA31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03122BE"/>
    <w:multiLevelType w:val="hybridMultilevel"/>
    <w:tmpl w:val="50203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101E5B"/>
    <w:multiLevelType w:val="hybridMultilevel"/>
    <w:tmpl w:val="92707A7C"/>
    <w:lvl w:ilvl="0" w:tplc="4F9A1F08">
      <w:start w:val="1"/>
      <w:numFmt w:val="lowerLetter"/>
      <w:lvlText w:val="%1."/>
      <w:lvlJc w:val="left"/>
      <w:pPr>
        <w:ind w:left="720" w:hanging="360"/>
      </w:pPr>
      <w:rPr>
        <w:rFonts w:hint="default"/>
        <w:b/>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8120A8"/>
    <w:multiLevelType w:val="hybridMultilevel"/>
    <w:tmpl w:val="112AD4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2A6520A"/>
    <w:multiLevelType w:val="hybridMultilevel"/>
    <w:tmpl w:val="1358970C"/>
    <w:lvl w:ilvl="0" w:tplc="C160F7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4F168D"/>
    <w:multiLevelType w:val="multilevel"/>
    <w:tmpl w:val="9216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7461C"/>
    <w:multiLevelType w:val="multilevel"/>
    <w:tmpl w:val="B04A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B0DA9"/>
    <w:multiLevelType w:val="multilevel"/>
    <w:tmpl w:val="8E92E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5B34EE2"/>
    <w:multiLevelType w:val="hybridMultilevel"/>
    <w:tmpl w:val="F26CB07E"/>
    <w:lvl w:ilvl="0" w:tplc="3848A302">
      <w:start w:val="1"/>
      <w:numFmt w:val="lowerLetter"/>
      <w:lvlText w:val="%1."/>
      <w:lvlJc w:val="left"/>
      <w:pPr>
        <w:ind w:left="720" w:hanging="360"/>
      </w:pPr>
      <w:rPr>
        <w:rFonts w:hint="default"/>
        <w:b/>
        <w:color w:val="CC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A815E3"/>
    <w:multiLevelType w:val="hybridMultilevel"/>
    <w:tmpl w:val="02BC3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D27AE3"/>
    <w:multiLevelType w:val="hybridMultilevel"/>
    <w:tmpl w:val="10B07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EC6301"/>
    <w:multiLevelType w:val="multilevel"/>
    <w:tmpl w:val="C6F40DF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8" w15:restartNumberingAfterBreak="0">
    <w:nsid w:val="6EDC34BA"/>
    <w:multiLevelType w:val="hybridMultilevel"/>
    <w:tmpl w:val="06428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C10087"/>
    <w:multiLevelType w:val="hybridMultilevel"/>
    <w:tmpl w:val="3976B670"/>
    <w:lvl w:ilvl="0" w:tplc="7C1CCFAE">
      <w:start w:val="1"/>
      <w:numFmt w:val="lowerLetter"/>
      <w:lvlText w:val="%1)"/>
      <w:lvlJc w:val="left"/>
      <w:pPr>
        <w:ind w:left="420" w:hanging="360"/>
      </w:pPr>
      <w:rPr>
        <w:rFonts w:hint="default"/>
        <w:b/>
        <w:bCs/>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0" w15:restartNumberingAfterBreak="0">
    <w:nsid w:val="705A05A4"/>
    <w:multiLevelType w:val="multilevel"/>
    <w:tmpl w:val="479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B14B51"/>
    <w:multiLevelType w:val="multilevel"/>
    <w:tmpl w:val="2CA2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9488E"/>
    <w:multiLevelType w:val="multilevel"/>
    <w:tmpl w:val="5532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0D04D9"/>
    <w:multiLevelType w:val="hybridMultilevel"/>
    <w:tmpl w:val="B12C5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5474564">
    <w:abstractNumId w:val="20"/>
  </w:num>
  <w:num w:numId="2" w16cid:durableId="793642242">
    <w:abstractNumId w:val="33"/>
  </w:num>
  <w:num w:numId="3" w16cid:durableId="1584755571">
    <w:abstractNumId w:val="23"/>
  </w:num>
  <w:num w:numId="4" w16cid:durableId="1322274587">
    <w:abstractNumId w:val="7"/>
  </w:num>
  <w:num w:numId="5" w16cid:durableId="546331212">
    <w:abstractNumId w:val="5"/>
  </w:num>
  <w:num w:numId="6" w16cid:durableId="825902795">
    <w:abstractNumId w:val="12"/>
  </w:num>
  <w:num w:numId="7" w16cid:durableId="1489127265">
    <w:abstractNumId w:val="18"/>
  </w:num>
  <w:num w:numId="8" w16cid:durableId="1519274679">
    <w:abstractNumId w:val="39"/>
  </w:num>
  <w:num w:numId="9" w16cid:durableId="1455321109">
    <w:abstractNumId w:val="4"/>
  </w:num>
  <w:num w:numId="10" w16cid:durableId="269316192">
    <w:abstractNumId w:val="29"/>
  </w:num>
  <w:num w:numId="11" w16cid:durableId="355086262">
    <w:abstractNumId w:val="14"/>
  </w:num>
  <w:num w:numId="12" w16cid:durableId="1019313115">
    <w:abstractNumId w:val="26"/>
  </w:num>
  <w:num w:numId="13" w16cid:durableId="1416823925">
    <w:abstractNumId w:val="34"/>
  </w:num>
  <w:num w:numId="14" w16cid:durableId="1195535682">
    <w:abstractNumId w:val="10"/>
  </w:num>
  <w:num w:numId="15" w16cid:durableId="541675731">
    <w:abstractNumId w:val="13"/>
  </w:num>
  <w:num w:numId="16" w16cid:durableId="1184787619">
    <w:abstractNumId w:val="28"/>
  </w:num>
  <w:num w:numId="17" w16cid:durableId="540627218">
    <w:abstractNumId w:val="35"/>
  </w:num>
  <w:num w:numId="18" w16cid:durableId="1238901930">
    <w:abstractNumId w:val="2"/>
  </w:num>
  <w:num w:numId="19" w16cid:durableId="1916042889">
    <w:abstractNumId w:val="9"/>
  </w:num>
  <w:num w:numId="20" w16cid:durableId="268437119">
    <w:abstractNumId w:val="43"/>
  </w:num>
  <w:num w:numId="21" w16cid:durableId="1592348006">
    <w:abstractNumId w:val="1"/>
  </w:num>
  <w:num w:numId="22" w16cid:durableId="1635017503">
    <w:abstractNumId w:val="11"/>
  </w:num>
  <w:num w:numId="23" w16cid:durableId="1923827849">
    <w:abstractNumId w:val="42"/>
  </w:num>
  <w:num w:numId="24" w16cid:durableId="1183130347">
    <w:abstractNumId w:val="40"/>
  </w:num>
  <w:num w:numId="25" w16cid:durableId="337655956">
    <w:abstractNumId w:val="21"/>
  </w:num>
  <w:num w:numId="26" w16cid:durableId="320696070">
    <w:abstractNumId w:val="19"/>
  </w:num>
  <w:num w:numId="27" w16cid:durableId="86584355">
    <w:abstractNumId w:val="3"/>
  </w:num>
  <w:num w:numId="28" w16cid:durableId="2071533728">
    <w:abstractNumId w:val="41"/>
  </w:num>
  <w:num w:numId="29" w16cid:durableId="1698654947">
    <w:abstractNumId w:val="16"/>
  </w:num>
  <w:num w:numId="30" w16cid:durableId="1943370502">
    <w:abstractNumId w:val="22"/>
  </w:num>
  <w:num w:numId="31" w16cid:durableId="311377326">
    <w:abstractNumId w:val="36"/>
  </w:num>
  <w:num w:numId="32" w16cid:durableId="973870350">
    <w:abstractNumId w:val="30"/>
  </w:num>
  <w:num w:numId="33" w16cid:durableId="1223055757">
    <w:abstractNumId w:val="8"/>
  </w:num>
  <w:num w:numId="34" w16cid:durableId="2099591431">
    <w:abstractNumId w:val="38"/>
  </w:num>
  <w:num w:numId="35" w16cid:durableId="1138297684">
    <w:abstractNumId w:val="24"/>
  </w:num>
  <w:num w:numId="36" w16cid:durableId="1137575130">
    <w:abstractNumId w:val="25"/>
  </w:num>
  <w:num w:numId="37" w16cid:durableId="496851018">
    <w:abstractNumId w:val="6"/>
  </w:num>
  <w:num w:numId="38" w16cid:durableId="887765543">
    <w:abstractNumId w:val="27"/>
  </w:num>
  <w:num w:numId="39" w16cid:durableId="1756976955">
    <w:abstractNumId w:val="17"/>
  </w:num>
  <w:num w:numId="40" w16cid:durableId="1250387928">
    <w:abstractNumId w:val="32"/>
  </w:num>
  <w:num w:numId="41" w16cid:durableId="305402332">
    <w:abstractNumId w:val="37"/>
  </w:num>
  <w:num w:numId="42" w16cid:durableId="394209245">
    <w:abstractNumId w:val="15"/>
  </w:num>
  <w:num w:numId="43" w16cid:durableId="1207109143">
    <w:abstractNumId w:val="0"/>
  </w:num>
  <w:num w:numId="44" w16cid:durableId="78087981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9F0"/>
    <w:rsid w:val="000037D0"/>
    <w:rsid w:val="00007833"/>
    <w:rsid w:val="000219F0"/>
    <w:rsid w:val="00032214"/>
    <w:rsid w:val="0005083D"/>
    <w:rsid w:val="0005618A"/>
    <w:rsid w:val="00081B5A"/>
    <w:rsid w:val="00084076"/>
    <w:rsid w:val="00086DE3"/>
    <w:rsid w:val="00087E5D"/>
    <w:rsid w:val="000A4898"/>
    <w:rsid w:val="000C552A"/>
    <w:rsid w:val="000D1588"/>
    <w:rsid w:val="000D5C28"/>
    <w:rsid w:val="001234E3"/>
    <w:rsid w:val="00124091"/>
    <w:rsid w:val="00126E67"/>
    <w:rsid w:val="001432CB"/>
    <w:rsid w:val="0016227D"/>
    <w:rsid w:val="00167884"/>
    <w:rsid w:val="0017682E"/>
    <w:rsid w:val="001B425C"/>
    <w:rsid w:val="001D737D"/>
    <w:rsid w:val="00206086"/>
    <w:rsid w:val="00221C21"/>
    <w:rsid w:val="00276D00"/>
    <w:rsid w:val="002950B1"/>
    <w:rsid w:val="002977DB"/>
    <w:rsid w:val="002A2916"/>
    <w:rsid w:val="002A2F5A"/>
    <w:rsid w:val="002A3A35"/>
    <w:rsid w:val="002D0D9A"/>
    <w:rsid w:val="002E57C7"/>
    <w:rsid w:val="003178A0"/>
    <w:rsid w:val="00327CA4"/>
    <w:rsid w:val="00374B0A"/>
    <w:rsid w:val="003945F4"/>
    <w:rsid w:val="003D32C5"/>
    <w:rsid w:val="003E2093"/>
    <w:rsid w:val="003E5398"/>
    <w:rsid w:val="0040047E"/>
    <w:rsid w:val="0040146D"/>
    <w:rsid w:val="00410EC9"/>
    <w:rsid w:val="00416D53"/>
    <w:rsid w:val="004272E3"/>
    <w:rsid w:val="0043663A"/>
    <w:rsid w:val="004520DA"/>
    <w:rsid w:val="00472BBF"/>
    <w:rsid w:val="00483B40"/>
    <w:rsid w:val="00495247"/>
    <w:rsid w:val="00497335"/>
    <w:rsid w:val="004A1329"/>
    <w:rsid w:val="004F1732"/>
    <w:rsid w:val="004F7FAA"/>
    <w:rsid w:val="005123F9"/>
    <w:rsid w:val="00520056"/>
    <w:rsid w:val="0058096A"/>
    <w:rsid w:val="005829A1"/>
    <w:rsid w:val="0058511B"/>
    <w:rsid w:val="005A2633"/>
    <w:rsid w:val="005C2A42"/>
    <w:rsid w:val="005E4D99"/>
    <w:rsid w:val="00602771"/>
    <w:rsid w:val="006327EB"/>
    <w:rsid w:val="00653D32"/>
    <w:rsid w:val="006621CF"/>
    <w:rsid w:val="00673DD2"/>
    <w:rsid w:val="006864DC"/>
    <w:rsid w:val="00705114"/>
    <w:rsid w:val="00753659"/>
    <w:rsid w:val="007A6F0A"/>
    <w:rsid w:val="007B45E5"/>
    <w:rsid w:val="007B4B02"/>
    <w:rsid w:val="007D630B"/>
    <w:rsid w:val="007E2F72"/>
    <w:rsid w:val="007F3683"/>
    <w:rsid w:val="007F7550"/>
    <w:rsid w:val="007F77D3"/>
    <w:rsid w:val="00814A77"/>
    <w:rsid w:val="00823F3B"/>
    <w:rsid w:val="00844C16"/>
    <w:rsid w:val="00853D2F"/>
    <w:rsid w:val="00894767"/>
    <w:rsid w:val="008A506E"/>
    <w:rsid w:val="008E7E89"/>
    <w:rsid w:val="008F58F2"/>
    <w:rsid w:val="008F62B5"/>
    <w:rsid w:val="009015FC"/>
    <w:rsid w:val="009522A4"/>
    <w:rsid w:val="00985684"/>
    <w:rsid w:val="00995363"/>
    <w:rsid w:val="009A5A9B"/>
    <w:rsid w:val="00A05495"/>
    <w:rsid w:val="00A162A3"/>
    <w:rsid w:val="00A570E8"/>
    <w:rsid w:val="00A74DAD"/>
    <w:rsid w:val="00A9771B"/>
    <w:rsid w:val="00AB26A8"/>
    <w:rsid w:val="00AB6DFA"/>
    <w:rsid w:val="00AD70D0"/>
    <w:rsid w:val="00AE6C4E"/>
    <w:rsid w:val="00B23007"/>
    <w:rsid w:val="00B61E29"/>
    <w:rsid w:val="00B64F11"/>
    <w:rsid w:val="00B65604"/>
    <w:rsid w:val="00B70662"/>
    <w:rsid w:val="00B86C68"/>
    <w:rsid w:val="00BA6168"/>
    <w:rsid w:val="00BB3F1D"/>
    <w:rsid w:val="00BE0E72"/>
    <w:rsid w:val="00BF21DE"/>
    <w:rsid w:val="00C03035"/>
    <w:rsid w:val="00C030BC"/>
    <w:rsid w:val="00C11064"/>
    <w:rsid w:val="00C17A55"/>
    <w:rsid w:val="00C243AD"/>
    <w:rsid w:val="00C67C9F"/>
    <w:rsid w:val="00CA6312"/>
    <w:rsid w:val="00CB61F0"/>
    <w:rsid w:val="00CE04B4"/>
    <w:rsid w:val="00CF4BE2"/>
    <w:rsid w:val="00CF67E1"/>
    <w:rsid w:val="00D5589D"/>
    <w:rsid w:val="00D65962"/>
    <w:rsid w:val="00D71051"/>
    <w:rsid w:val="00D75129"/>
    <w:rsid w:val="00DA1E2A"/>
    <w:rsid w:val="00DE1D0E"/>
    <w:rsid w:val="00DF4EDB"/>
    <w:rsid w:val="00E027FC"/>
    <w:rsid w:val="00E135E7"/>
    <w:rsid w:val="00E2198E"/>
    <w:rsid w:val="00E74A2D"/>
    <w:rsid w:val="00EA002E"/>
    <w:rsid w:val="00ED748A"/>
    <w:rsid w:val="00F02BBF"/>
    <w:rsid w:val="00F07995"/>
    <w:rsid w:val="00F21A5C"/>
    <w:rsid w:val="00F236DE"/>
    <w:rsid w:val="00F35EDF"/>
    <w:rsid w:val="00F45A4D"/>
    <w:rsid w:val="00F605EB"/>
    <w:rsid w:val="00F63957"/>
    <w:rsid w:val="00FD21AB"/>
    <w:rsid w:val="00FD5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5678E"/>
  <w15:docId w15:val="{884F3F85-B372-164A-8350-C7E43883C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BE2"/>
    <w:rPr>
      <w:rFonts w:ascii="Garamond" w:hAnsi="Garamond"/>
      <w:sz w:val="24"/>
      <w:szCs w:val="24"/>
    </w:rPr>
  </w:style>
  <w:style w:type="paragraph" w:styleId="Heading1">
    <w:name w:val="heading 1"/>
    <w:basedOn w:val="Normal"/>
    <w:next w:val="Normal"/>
    <w:uiPriority w:val="9"/>
    <w:qFormat/>
    <w:rsid w:val="00472BBF"/>
    <w:pPr>
      <w:numPr>
        <w:numId w:val="33"/>
      </w:numPr>
      <w:spacing w:after="240" w:line="360" w:lineRule="auto"/>
      <w:outlineLvl w:val="0"/>
    </w:pPr>
    <w:rPr>
      <w:rFonts w:eastAsia="Cambria" w:cs="Cambria"/>
      <w:b/>
      <w:bCs/>
      <w:color w:val="C00000"/>
      <w:sz w:val="28"/>
      <w:szCs w:val="28"/>
    </w:rPr>
  </w:style>
  <w:style w:type="paragraph" w:styleId="Heading2">
    <w:name w:val="heading 2"/>
    <w:basedOn w:val="Heading1"/>
    <w:next w:val="Normal"/>
    <w:uiPriority w:val="9"/>
    <w:unhideWhenUsed/>
    <w:qFormat/>
    <w:rsid w:val="00B65604"/>
    <w:pPr>
      <w:numPr>
        <w:numId w:val="35"/>
      </w:numPr>
      <w:outlineLvl w:val="1"/>
    </w:pPr>
    <w:rPr>
      <w:sz w:val="26"/>
      <w:szCs w:val="26"/>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CF4BE2"/>
    <w:pPr>
      <w:keepNext/>
      <w:keepLines/>
      <w:spacing w:before="200" w:line="360" w:lineRule="auto"/>
      <w:jc w:val="center"/>
    </w:pPr>
    <w:rPr>
      <w:rFonts w:ascii="Cambria" w:eastAsia="Cambria" w:hAnsi="Cambria" w:cs="Cambria"/>
      <w:b/>
      <w:color w:val="CC0000"/>
      <w:sz w:val="26"/>
      <w:szCs w:val="26"/>
    </w:rPr>
  </w:style>
  <w:style w:type="paragraph" w:styleId="Subtitle">
    <w:name w:val="Subtitle"/>
    <w:basedOn w:val="Normal"/>
    <w:next w:val="Normal"/>
    <w:uiPriority w:val="11"/>
    <w:qFormat/>
    <w:rsid w:val="00032214"/>
    <w:pPr>
      <w:spacing w:line="360" w:lineRule="auto"/>
      <w:jc w:val="center"/>
    </w:pPr>
    <w:rPr>
      <w:rFonts w:eastAsia="Cambria" w:cs="Cambria"/>
      <w:b/>
      <w:lang w:val="en-US"/>
    </w:r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76D00"/>
    <w:pPr>
      <w:ind w:left="720"/>
      <w:contextualSpacing/>
    </w:pPr>
  </w:style>
  <w:style w:type="table" w:styleId="TableGrid">
    <w:name w:val="Table Grid"/>
    <w:basedOn w:val="TableNormal"/>
    <w:uiPriority w:val="39"/>
    <w:rsid w:val="00276D0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8A506E"/>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F605EB"/>
    <w:pPr>
      <w:tabs>
        <w:tab w:val="center" w:pos="4680"/>
        <w:tab w:val="right" w:pos="9360"/>
      </w:tabs>
      <w:spacing w:line="240" w:lineRule="auto"/>
    </w:pPr>
  </w:style>
  <w:style w:type="character" w:customStyle="1" w:styleId="HeaderChar">
    <w:name w:val="Header Char"/>
    <w:basedOn w:val="DefaultParagraphFont"/>
    <w:link w:val="Header"/>
    <w:uiPriority w:val="99"/>
    <w:rsid w:val="00F605EB"/>
  </w:style>
  <w:style w:type="paragraph" w:styleId="Footer">
    <w:name w:val="footer"/>
    <w:basedOn w:val="Normal"/>
    <w:link w:val="FooterChar"/>
    <w:uiPriority w:val="99"/>
    <w:unhideWhenUsed/>
    <w:rsid w:val="00F605EB"/>
    <w:pPr>
      <w:tabs>
        <w:tab w:val="center" w:pos="4680"/>
        <w:tab w:val="right" w:pos="9360"/>
      </w:tabs>
      <w:spacing w:line="240" w:lineRule="auto"/>
    </w:pPr>
  </w:style>
  <w:style w:type="character" w:customStyle="1" w:styleId="FooterChar">
    <w:name w:val="Footer Char"/>
    <w:basedOn w:val="DefaultParagraphFont"/>
    <w:link w:val="Footer"/>
    <w:uiPriority w:val="99"/>
    <w:rsid w:val="00F605EB"/>
  </w:style>
  <w:style w:type="table" w:styleId="TableGridLight">
    <w:name w:val="Grid Table Light"/>
    <w:basedOn w:val="TableNormal"/>
    <w:uiPriority w:val="40"/>
    <w:rsid w:val="0020608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20608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20608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20608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4272E3"/>
    <w:rPr>
      <w:color w:val="666666"/>
    </w:rPr>
  </w:style>
  <w:style w:type="character" w:customStyle="1" w:styleId="mord">
    <w:name w:val="mord"/>
    <w:basedOn w:val="DefaultParagraphFont"/>
    <w:rsid w:val="005123F9"/>
  </w:style>
  <w:style w:type="character" w:customStyle="1" w:styleId="mbin">
    <w:name w:val="mbin"/>
    <w:basedOn w:val="DefaultParagraphFont"/>
    <w:rsid w:val="005123F9"/>
  </w:style>
  <w:style w:type="character" w:customStyle="1" w:styleId="vlist-s">
    <w:name w:val="vlist-s"/>
    <w:basedOn w:val="DefaultParagraphFont"/>
    <w:rsid w:val="005123F9"/>
  </w:style>
  <w:style w:type="character" w:styleId="Strong">
    <w:name w:val="Strong"/>
    <w:basedOn w:val="DefaultParagraphFont"/>
    <w:uiPriority w:val="22"/>
    <w:qFormat/>
    <w:rsid w:val="00A74DAD"/>
    <w:rPr>
      <w:b/>
      <w:bCs/>
    </w:rPr>
  </w:style>
  <w:style w:type="character" w:customStyle="1" w:styleId="apple-converted-space">
    <w:name w:val="apple-converted-space"/>
    <w:basedOn w:val="DefaultParagraphFont"/>
    <w:rsid w:val="00A74DAD"/>
  </w:style>
  <w:style w:type="paragraph" w:styleId="NormalWeb">
    <w:name w:val="Normal (Web)"/>
    <w:basedOn w:val="Normal"/>
    <w:uiPriority w:val="99"/>
    <w:unhideWhenUsed/>
    <w:rsid w:val="002A2916"/>
    <w:pPr>
      <w:spacing w:before="100" w:beforeAutospacing="1" w:after="100" w:afterAutospacing="1" w:line="240" w:lineRule="auto"/>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2A2916"/>
    <w:rPr>
      <w:rFonts w:ascii="Courier New" w:eastAsia="Times New Roman" w:hAnsi="Courier New" w:cs="Courier New"/>
      <w:sz w:val="20"/>
      <w:szCs w:val="20"/>
    </w:rPr>
  </w:style>
  <w:style w:type="table" w:styleId="GridTable3">
    <w:name w:val="Grid Table 3"/>
    <w:basedOn w:val="TableNormal"/>
    <w:uiPriority w:val="48"/>
    <w:rsid w:val="00C243A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Emphasis">
    <w:name w:val="Emphasis"/>
    <w:basedOn w:val="DefaultParagraphFont"/>
    <w:uiPriority w:val="20"/>
    <w:qFormat/>
    <w:rsid w:val="009953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310274">
      <w:bodyDiv w:val="1"/>
      <w:marLeft w:val="0"/>
      <w:marRight w:val="0"/>
      <w:marTop w:val="0"/>
      <w:marBottom w:val="0"/>
      <w:divBdr>
        <w:top w:val="none" w:sz="0" w:space="0" w:color="auto"/>
        <w:left w:val="none" w:sz="0" w:space="0" w:color="auto"/>
        <w:bottom w:val="none" w:sz="0" w:space="0" w:color="auto"/>
        <w:right w:val="none" w:sz="0" w:space="0" w:color="auto"/>
      </w:divBdr>
    </w:div>
    <w:div w:id="1385057679">
      <w:bodyDiv w:val="1"/>
      <w:marLeft w:val="0"/>
      <w:marRight w:val="0"/>
      <w:marTop w:val="0"/>
      <w:marBottom w:val="0"/>
      <w:divBdr>
        <w:top w:val="none" w:sz="0" w:space="0" w:color="auto"/>
        <w:left w:val="none" w:sz="0" w:space="0" w:color="auto"/>
        <w:bottom w:val="none" w:sz="0" w:space="0" w:color="auto"/>
        <w:right w:val="none" w:sz="0" w:space="0" w:color="auto"/>
      </w:divBdr>
    </w:div>
    <w:div w:id="14777226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1668F-BC85-804C-8052-79B39A162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7610</TotalTime>
  <Pages>3</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Le</dc:creator>
  <cp:keywords/>
  <dc:description/>
  <cp:lastModifiedBy>Anthony Le</cp:lastModifiedBy>
  <cp:revision>18</cp:revision>
  <dcterms:created xsi:type="dcterms:W3CDTF">2025-02-24T21:45:00Z</dcterms:created>
  <dcterms:modified xsi:type="dcterms:W3CDTF">2025-12-14T07:51:00Z</dcterms:modified>
</cp:coreProperties>
</file>