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Times New Roman" w:cs="Times New Roman" w:eastAsia="Times New Roman" w:hAnsi="Times New Roman"/>
          <w:b/>
          <w:bCs/>
          <w:sz w:val="28"/>
          <w:szCs w:val="28"/>
        </w:rPr>
        <w:t xml:space="preserve">CHAPTER ONE</w:t>
      </w:r>
    </w:p>
    <w:p>
      <w:pPr>
        <w:spacing w:after="240" w:before="240" w:line="360"/>
        <w:jc w:val="center"/>
      </w:pPr>
      <w:r>
        <w:rPr>
          <w:rFonts w:ascii="Times New Roman" w:cs="Times New Roman" w:eastAsia="Times New Roman" w:hAnsi="Times New Roman"/>
          <w:b/>
          <w:bCs/>
          <w:sz w:val="28"/>
          <w:szCs w:val="28"/>
        </w:rPr>
        <w:t xml:space="preserve">INTRODUCTION</w:t>
      </w:r>
    </w:p>
    <w:p>
      <w:pPr>
        <w:pStyle w:val="Heading1"/>
        <w:spacing w:after="160" w:before="320" w:line="360"/>
      </w:pPr>
      <w:r>
        <w:rPr>
          <w:rFonts w:ascii="Times New Roman" w:cs="Times New Roman" w:eastAsia="Times New Roman" w:hAnsi="Times New Roman"/>
          <w:b/>
          <w:bCs/>
          <w:color w:val="000000"/>
          <w:sz w:val="26"/>
          <w:szCs w:val="26"/>
        </w:rPr>
        <w:t xml:space="preserve">1.1  Background to the Study</w:t>
      </w:r>
    </w:p>
    <w:p>
      <w:pPr>
        <w:spacing w:after="160" w:line="360"/>
        <w:ind w:firstLine="0"/>
        <w:jc w:val="both"/>
      </w:pPr>
      <w:r>
        <w:rPr>
          <w:rFonts w:ascii="Times New Roman" w:cs="Times New Roman" w:eastAsia="Times New Roman" w:hAnsi="Times New Roman"/>
          <w:sz w:val="24"/>
          <w:szCs w:val="24"/>
        </w:rPr>
        <w:t xml:space="preserve">Saving is one of the clearest signs that a household has some measure of control over its finances. A household that is able to set money aside, whether in a bank, through a mobile money service, in a community savings group or simply as cash kept at home, is better placed to absorb a poor harvest, a hospital bill or the sudden loss of an income earner. Where saving is common, families recover from setbacks faster and rely less on distress borrowing or on selling productive assets. This is why savings behaviour is treated in development work as a practical measure of financial security rather than as a matter of personal habit alone.</w:t>
      </w:r>
    </w:p>
    <w:p>
      <w:pPr>
        <w:spacing w:after="160" w:line="360"/>
        <w:ind w:firstLine="0"/>
        <w:jc w:val="both"/>
      </w:pPr>
      <w:r>
        <w:rPr>
          <w:rFonts w:ascii="Times New Roman" w:cs="Times New Roman" w:eastAsia="Times New Roman" w:hAnsi="Times New Roman"/>
          <w:sz w:val="24"/>
          <w:szCs w:val="24"/>
        </w:rPr>
        <w:t xml:space="preserve">Economic theory has long connected saving to observable household characteristics. The life-cycle account developed by Modigliani and Brumberg holds that people plan their spending across a whole lifetime rather than react to the income of a single year, so they draw down resources early and late in life and save during their working years (Sablik, 2016). Friedman (1957) argued along related lines that consumption tracks the income a household expects over the long run rather than income in any single year. A temporary windfall, such as an unusually good harvest, is on this view mostly saved rather than spent. Neither theory was written with machine learning in mind, but both converge on a practical point: the age of the household head, the source of household income and the stability of that income all carry information about whether a household is likely to save.</w:t>
      </w:r>
    </w:p>
    <w:p>
      <w:pPr>
        <w:spacing w:after="160" w:line="360"/>
        <w:ind w:firstLine="0"/>
        <w:jc w:val="both"/>
      </w:pPr>
      <w:r>
        <w:rPr>
          <w:rFonts w:ascii="Times New Roman" w:cs="Times New Roman" w:eastAsia="Times New Roman" w:hAnsi="Times New Roman"/>
          <w:sz w:val="24"/>
          <w:szCs w:val="24"/>
        </w:rPr>
        <w:t xml:space="preserve">Evidence from Nigeria fills in the local detail. Using General Household Survey panel data covering 3,112 rural households, Mukaila, Falola and Egwue (2021) found that the gender of the household head, household size and years of education were the strongest positive influences on rural household income, while a high dependency ratio pulled income down. Since income and the capacity to save are closely tied, these variables matter for savings as well. Working with 240 rural households in Kebbi State, Abubakar and Illo (2026) reported that expenditure and interest rates raised savings while distance to the nearest bank reduced them, and that limited savings capacity was the main obstacle because household resources barely covered basic needs. The finding on distance stands out for a different reason than the income results: it points to where a household is located and what infrastructure it can reach, not to who lives there.</w:t>
      </w:r>
    </w:p>
    <w:p>
      <w:pPr>
        <w:spacing w:after="160" w:line="360"/>
        <w:ind w:firstLine="0"/>
        <w:jc w:val="both"/>
      </w:pPr>
      <w:r>
        <w:rPr>
          <w:rFonts w:ascii="Times New Roman" w:cs="Times New Roman" w:eastAsia="Times New Roman" w:hAnsi="Times New Roman"/>
          <w:sz w:val="24"/>
          <w:szCs w:val="24"/>
        </w:rPr>
        <w:t xml:space="preserve">The wider picture from financial inclusion research points the same way. The Global Findex Database 2021, compiled by Demirguc-Kunt, Klapper, Singer and Ansar (2022) from a survey of about 128,000 adults in 123 economies, reported that account ownership in developing economies rose from 54 percent in 2014 to 71 percent in 2021, with mobile money accounting for much of the gain in sub-Saharan Africa. Owning an account, however, is not the same as saving through one. Many households in the region hold an account without ever using it to save, and a good deal of saving still happens informally. Access and behaviour are therefore two different things, and it is behaviour that matters for financial resilience.</w:t>
      </w:r>
    </w:p>
    <w:p>
      <w:pPr>
        <w:spacing w:after="160" w:line="360"/>
        <w:ind w:firstLine="0"/>
        <w:jc w:val="both"/>
      </w:pPr>
      <w:r>
        <w:rPr>
          <w:rFonts w:ascii="Times New Roman" w:cs="Times New Roman" w:eastAsia="Times New Roman" w:hAnsi="Times New Roman"/>
          <w:sz w:val="24"/>
          <w:szCs w:val="24"/>
        </w:rPr>
        <w:t xml:space="preserve">Machine learning offers a way to work with this problem that ordinary descriptive analysis does not. National household surveys already record the demographic, economic and access variables that theory and prior evidence identify as relevant — exactly the kind of structured, labelled data supervised learning needs. Recent studies show this can be done. Hassan, Muse and Chesneau (2024) classified poverty in Somalia from survey records, Nkurunziza, Kabanda and McSharry (2024) classified household consumption in Rwanda from 87 survey variables, and Salvador (2024) predicted household wealth quintiles in the Philippines using boosting methods. Grinsztajn, Oyallon and Varoquaux (2022) further showed that tree-based models remain the strongest performers on tabular data of this kind. That finding, more than any other reviewed here, is what points this project toward tree ensembles rather than a neural approach.</w:t>
      </w:r>
    </w:p>
    <w:p>
      <w:pPr>
        <w:spacing w:after="160" w:line="360"/>
        <w:ind w:firstLine="0"/>
        <w:jc w:val="both"/>
      </w:pPr>
      <w:r>
        <w:rPr>
          <w:rFonts w:ascii="Times New Roman" w:cs="Times New Roman" w:eastAsia="Times New Roman" w:hAnsi="Times New Roman"/>
          <w:sz w:val="24"/>
          <w:szCs w:val="24"/>
        </w:rPr>
        <w:t xml:space="preserve">What has received far less attention is the specific question of whether a household holds any savings at all. Most Nigerian work on saving explains the behaviour after the fact using regression, and the machine learning studies that do predict tend to target poverty or consumption instead. This project sits in that space. It uses the Nigeria General Household Survey, Panel 2023 to 2024 (Wave 5) to build and compare supervised classification models that predict household savings status from characteristics a survey can observe, and then reads off the characteristics that carry the most weight.</w:t>
      </w:r>
    </w:p>
    <w:p>
      <w:pPr>
        <w:pStyle w:val="Heading1"/>
        <w:spacing w:after="160" w:before="320" w:line="360"/>
      </w:pPr>
      <w:r>
        <w:rPr>
          <w:rFonts w:ascii="Times New Roman" w:cs="Times New Roman" w:eastAsia="Times New Roman" w:hAnsi="Times New Roman"/>
          <w:b/>
          <w:bCs/>
          <w:color w:val="000000"/>
          <w:sz w:val="26"/>
          <w:szCs w:val="26"/>
        </w:rPr>
        <w:t xml:space="preserve">1.2  Statement of the Problem</w:t>
      </w:r>
    </w:p>
    <w:p>
      <w:pPr>
        <w:spacing w:after="160" w:line="360"/>
        <w:ind w:firstLine="0"/>
        <w:jc w:val="both"/>
      </w:pPr>
      <w:r>
        <w:rPr>
          <w:rFonts w:ascii="Times New Roman" w:cs="Times New Roman" w:eastAsia="Times New Roman" w:hAnsi="Times New Roman"/>
          <w:sz w:val="24"/>
          <w:szCs w:val="24"/>
        </w:rPr>
        <w:t xml:space="preserve">Access to and use of formal savings mechanisms remain uneven across Nigerian households. The gaps line up with income level, geographic location and the availability of financial infrastructure, and they leave a significant share of the population without a reliable buffer against economic shocks. Development agencies, financial institutions and government programmes respond by designing interventions such as mobile banking, community savings schemes and microfinance outreach, but these interventions have to be aimed somewhere, and aiming them well requires knowing which household profiles are least likely to be saving.</w:t>
      </w:r>
    </w:p>
    <w:p>
      <w:pPr>
        <w:spacing w:after="160" w:line="360"/>
        <w:ind w:firstLine="0"/>
        <w:jc w:val="both"/>
      </w:pPr>
      <w:r>
        <w:rPr>
          <w:rFonts w:ascii="Times New Roman" w:cs="Times New Roman" w:eastAsia="Times New Roman" w:hAnsi="Times New Roman"/>
          <w:sz w:val="24"/>
          <w:szCs w:val="24"/>
        </w:rPr>
        <w:t xml:space="preserve">The information needed to answer that question already exists. National household surveys record household composition, education, income sources, asset ownership, location and access to financial services for thousands of households. What is missing is a way of turning those records into something predictive. Descriptive statistics and explanatory regression describe patterns in the data that has already been collected, but neither produces a tool that can take an unseen household profile and estimate how likely that household is to be saving.</w:t>
      </w:r>
    </w:p>
    <w:p>
      <w:pPr>
        <w:spacing w:after="160" w:line="360"/>
        <w:ind w:firstLine="0"/>
        <w:jc w:val="both"/>
      </w:pPr>
      <w:r>
        <w:rPr>
          <w:rFonts w:ascii="Times New Roman" w:cs="Times New Roman" w:eastAsia="Times New Roman" w:hAnsi="Times New Roman"/>
          <w:sz w:val="24"/>
          <w:szCs w:val="24"/>
        </w:rPr>
        <w:t xml:space="preserve">This project treats the identification of savings behaviour as a supervised classification problem. A model is trained on households whose savings status is known, learns the relationship between observable characteristics and that status, and is then judged on how well it generalises to households it has not seen. Framed this way, the problem has two parts. The first concerns whether such a model can be built with acceptable accuracy from Nigerian survey data. The second concerns which household characteristics the model relies on most, since that is what makes the result useful for policy rather than merely a technical exercise.</w:t>
      </w:r>
    </w:p>
    <w:p>
      <w:pPr>
        <w:pStyle w:val="Heading1"/>
        <w:spacing w:after="160" w:before="320" w:line="360"/>
      </w:pPr>
      <w:r>
        <w:rPr>
          <w:rFonts w:ascii="Times New Roman" w:cs="Times New Roman" w:eastAsia="Times New Roman" w:hAnsi="Times New Roman"/>
          <w:b/>
          <w:bCs/>
          <w:color w:val="000000"/>
          <w:sz w:val="26"/>
          <w:szCs w:val="26"/>
        </w:rPr>
        <w:t xml:space="preserve">1.3  Aim of the Study</w:t>
      </w:r>
    </w:p>
    <w:p>
      <w:pPr>
        <w:spacing w:after="160" w:line="360"/>
        <w:ind w:firstLine="0"/>
        <w:jc w:val="both"/>
      </w:pPr>
      <w:r>
        <w:rPr>
          <w:rFonts w:ascii="Times New Roman" w:cs="Times New Roman" w:eastAsia="Times New Roman" w:hAnsi="Times New Roman"/>
          <w:sz w:val="24"/>
          <w:szCs w:val="24"/>
        </w:rPr>
        <w:t xml:space="preserve">The aim of this study is to develop and evaluate supervised machine learning models capable of predicting whether a Nigerian household holds any savings, using demographic, economic and access to services data drawn from a national household survey.</w:t>
      </w:r>
    </w:p>
    <w:p>
      <w:pPr>
        <w:pStyle w:val="Heading1"/>
        <w:spacing w:after="160" w:before="320" w:line="360"/>
      </w:pPr>
      <w:r>
        <w:rPr>
          <w:rFonts w:ascii="Times New Roman" w:cs="Times New Roman" w:eastAsia="Times New Roman" w:hAnsi="Times New Roman"/>
          <w:b/>
          <w:bCs/>
          <w:color w:val="000000"/>
          <w:sz w:val="26"/>
          <w:szCs w:val="26"/>
        </w:rPr>
        <w:t xml:space="preserve">1.4  Objectives of the Study</w:t>
      </w:r>
    </w:p>
    <w:p>
      <w:pPr>
        <w:spacing w:after="160" w:line="360"/>
        <w:ind w:firstLine="0"/>
        <w:jc w:val="both"/>
      </w:pPr>
      <w:r>
        <w:rPr>
          <w:rFonts w:ascii="Times New Roman" w:cs="Times New Roman" w:eastAsia="Times New Roman" w:hAnsi="Times New Roman"/>
          <w:sz w:val="24"/>
          <w:szCs w:val="24"/>
        </w:rPr>
        <w:t xml:space="preserve">In order to achieve the stated aim, the study sets out the following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obtain and prepare a real world Nigerian household dataset suitable for a binary classification task.</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identify and engineer relevant features associated with household savings behaviour, including household composition, income source, location and access to financial services.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implement and compare multiple supervised classification algorithms for predicting savings status.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evaluate model performance using appropriate classification metrics and identify the features that most strongly influence savings behaviour.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present findings and recommendations relevant to financial inclusion in Nigeria.</w:t>
      </w:r>
    </w:p>
    <w:p>
      <w:pPr>
        <w:pStyle w:val="Heading1"/>
        <w:spacing w:after="160" w:before="320" w:line="360"/>
      </w:pPr>
      <w:r>
        <w:rPr>
          <w:rFonts w:ascii="Times New Roman" w:cs="Times New Roman" w:eastAsia="Times New Roman" w:hAnsi="Times New Roman"/>
          <w:b/>
          <w:bCs/>
          <w:color w:val="000000"/>
          <w:sz w:val="26"/>
          <w:szCs w:val="26"/>
        </w:rPr>
        <w:t xml:space="preserve">1.5  Research Questions</w:t>
      </w:r>
    </w:p>
    <w:p>
      <w:pPr>
        <w:spacing w:after="160" w:line="360"/>
        <w:ind w:firstLine="0"/>
        <w:jc w:val="both"/>
      </w:pPr>
      <w:r>
        <w:rPr>
          <w:rFonts w:ascii="Times New Roman" w:cs="Times New Roman" w:eastAsia="Times New Roman" w:hAnsi="Times New Roman"/>
          <w:sz w:val="24"/>
          <w:szCs w:val="24"/>
        </w:rPr>
        <w:t xml:space="preserve">The study is guided by the following questions: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Can household savings status in Nigeria be predicted from demographic, economic and access to services variables recorded in a national household survey?</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Which of the supervised classification algorithms considered gives the best balance of predictive accuracy and interpretability on this dataset?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Which household characteristics contribute most to the prediction of savings behaviour?</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What do the results suggest about where financial inclusion efforts in Nigeria might be directed?</w:t>
      </w:r>
    </w:p>
    <w:p>
      <w:pPr>
        <w:pStyle w:val="Heading1"/>
        <w:spacing w:after="160" w:before="320" w:line="360"/>
      </w:pPr>
      <w:r>
        <w:rPr>
          <w:rFonts w:ascii="Times New Roman" w:cs="Times New Roman" w:eastAsia="Times New Roman" w:hAnsi="Times New Roman"/>
          <w:b/>
          <w:bCs/>
          <w:color w:val="000000"/>
          <w:sz w:val="26"/>
          <w:szCs w:val="26"/>
        </w:rPr>
        <w:t xml:space="preserve">1.6  Significance of the Study</w:t>
      </w:r>
    </w:p>
    <w:p>
      <w:pPr>
        <w:spacing w:after="160" w:line="360"/>
        <w:ind w:firstLine="0"/>
        <w:jc w:val="both"/>
      </w:pPr>
      <w:r>
        <w:rPr>
          <w:rFonts w:ascii="Times New Roman" w:cs="Times New Roman" w:eastAsia="Times New Roman" w:hAnsi="Times New Roman"/>
          <w:sz w:val="24"/>
          <w:szCs w:val="24"/>
        </w:rPr>
        <w:t xml:space="preserve">The value of this study lies in producing a tool rather than a description. A trained classifier can estimate the likelihood of savings for a household profile that was never part of the survey. That is a different kind of output than a table of averages, and a more useful one when the question is where to send an intervention. Policymakers, development agencies and financial service providers work with limited budgets and have to choose between competing locations and population groups. A model that ranks household profiles by their likelihood of being unbanked or without savings gives that choice an evidence base.</w:t>
      </w:r>
    </w:p>
    <w:p>
      <w:pPr>
        <w:spacing w:after="160" w:line="360"/>
        <w:ind w:firstLine="0"/>
        <w:jc w:val="both"/>
      </w:pPr>
      <w:r>
        <w:rPr>
          <w:rFonts w:ascii="Times New Roman" w:cs="Times New Roman" w:eastAsia="Times New Roman" w:hAnsi="Times New Roman"/>
          <w:sz w:val="24"/>
          <w:szCs w:val="24"/>
        </w:rPr>
        <w:t xml:space="preserve">The feature importance analysis carries its own weight. Knowing that a model relies heavily on, for example, distance to financial services or the education of the household head tells an agency something different from knowing that it relies on household size. The first points to infrastructure, the second to targeting. Because the study compares an interpretable linear model against tree ensembles, it can report both the direction of each effect and the relative strength of each variable. A purely predictive result, on its own, would not support that discussion.</w:t>
      </w:r>
    </w:p>
    <w:p>
      <w:pPr>
        <w:spacing w:after="160" w:line="360"/>
        <w:ind w:firstLine="0"/>
        <w:jc w:val="both"/>
      </w:pPr>
      <w:r>
        <w:rPr>
          <w:rFonts w:ascii="Times New Roman" w:cs="Times New Roman" w:eastAsia="Times New Roman" w:hAnsi="Times New Roman"/>
          <w:sz w:val="24"/>
          <w:szCs w:val="24"/>
        </w:rPr>
        <w:t xml:space="preserve">There is also a methodological contribution. Household survey data is stored in separate modules recorded at different levels of analysis, and turning it into a single modelling table is a substantial piece of work in itself. Documenting how the Nigeria General Household Survey panel files were merged, cleaned and engineered into features gives later students and researchers a reusable starting point for other classification questions on the same dataset.</w:t>
      </w:r>
    </w:p>
    <w:p>
      <w:pPr>
        <w:spacing w:after="160" w:line="360"/>
        <w:ind w:firstLine="0"/>
        <w:jc w:val="both"/>
      </w:pPr>
      <w:r>
        <w:rPr>
          <w:rFonts w:ascii="Times New Roman" w:cs="Times New Roman" w:eastAsia="Times New Roman" w:hAnsi="Times New Roman"/>
          <w:sz w:val="24"/>
          <w:szCs w:val="24"/>
        </w:rPr>
        <w:t xml:space="preserve">Finally, the project serves an academic purpose for the group. It requires practical work in data acquisition from a restricted microdata library, cleaning across multiple linked files, feature engineering, leakage control, imbalance handling and comparative evaluation of classification algorithms. These are the core skills the course sets out to develop, applied to a problem with a real Nigerian context rather than to a prepared teaching dataset.</w:t>
      </w:r>
    </w:p>
    <w:p>
      <w:pPr>
        <w:pStyle w:val="Heading1"/>
        <w:spacing w:after="160" w:before="320" w:line="360"/>
      </w:pPr>
      <w:r>
        <w:rPr>
          <w:rFonts w:ascii="Times New Roman" w:cs="Times New Roman" w:eastAsia="Times New Roman" w:hAnsi="Times New Roman"/>
          <w:b/>
          <w:bCs/>
          <w:color w:val="000000"/>
          <w:sz w:val="26"/>
          <w:szCs w:val="26"/>
        </w:rPr>
        <w:t xml:space="preserve">1.7  Scope and Limitations of the Study</w:t>
      </w:r>
    </w:p>
    <w:p>
      <w:pPr>
        <w:spacing w:after="160" w:line="360"/>
        <w:ind w:firstLine="0"/>
        <w:jc w:val="both"/>
      </w:pPr>
      <w:r>
        <w:rPr>
          <w:rFonts w:ascii="Times New Roman" w:cs="Times New Roman" w:eastAsia="Times New Roman" w:hAnsi="Times New Roman"/>
          <w:sz w:val="24"/>
          <w:szCs w:val="24"/>
        </w:rPr>
        <w:t xml:space="preserve">The study is limited to the Nigeria General Household Survey, Panel 2023 to 2024 (Wave 5), conducted by the National Bureau of Statistics with the World Bank Living Standards Measurement Study team. The survey covers roughly five thousand households drawn from all six geopolitical zones, made up of a refresh sample of about 3,600 households and a long panel sample of about 1,590 households. Only variables recorded in that survey are used. The unit of analysis is the household, so questions about individual saving behaviour within a household fall outside what this work can address.</w:t>
      </w:r>
    </w:p>
    <w:p>
      <w:pPr>
        <w:spacing w:after="160" w:line="360"/>
        <w:ind w:firstLine="0"/>
        <w:jc w:val="both"/>
      </w:pPr>
      <w:r>
        <w:rPr>
          <w:rFonts w:ascii="Times New Roman" w:cs="Times New Roman" w:eastAsia="Times New Roman" w:hAnsi="Times New Roman"/>
          <w:sz w:val="24"/>
          <w:szCs w:val="24"/>
        </w:rPr>
        <w:t xml:space="preserve">The target is deliberately narrow. The model predicts whether a household reports holding any savings, treated as a binary outcome. It does not predict how much a household saves, how often it saves, or what form the savings take. A household saving a small amount informally and a household with a substantial bank deposit are both recorded as savers.</w:t>
      </w:r>
    </w:p>
    <w:p>
      <w:pPr>
        <w:spacing w:after="160" w:line="360"/>
        <w:ind w:firstLine="0"/>
        <w:jc w:val="both"/>
      </w:pPr>
      <w:r>
        <w:rPr>
          <w:rFonts w:ascii="Times New Roman" w:cs="Times New Roman" w:eastAsia="Times New Roman" w:hAnsi="Times New Roman"/>
          <w:sz w:val="24"/>
          <w:szCs w:val="24"/>
        </w:rPr>
        <w:t xml:space="preserve">Several limitations follow from the data itself. Survey responses on financial matters are self-reported and may be understated, particularly where households are reluctant to disclose holdings. The survey is cross-sectional in the way it is used here, so the study can identify association between characteristics and savings status but cannot establish that any characteristic causes saving. Missing responses are present in survey data of this size and are handled by imputation, which introduces its own assumptions. Finally, the models are trained on data collected in 2023 and 2024, and their performance on households surveyed in a different economic period is not something this study can guarantee.</w:t>
      </w:r>
    </w:p>
    <w:p>
      <w:pPr>
        <w:pStyle w:val="Heading1"/>
        <w:spacing w:after="160" w:before="320" w:line="360"/>
      </w:pPr>
      <w:r>
        <w:rPr>
          <w:rFonts w:ascii="Times New Roman" w:cs="Times New Roman" w:eastAsia="Times New Roman" w:hAnsi="Times New Roman"/>
          <w:b/>
          <w:bCs/>
          <w:color w:val="000000"/>
          <w:sz w:val="26"/>
          <w:szCs w:val="26"/>
        </w:rPr>
        <w:t xml:space="preserve">1.8  Definition of Terms</w:t>
      </w:r>
    </w:p>
    <w:p>
      <w:pPr>
        <w:spacing w:after="160" w:line="360"/>
        <w:ind w:firstLine="0"/>
        <w:jc w:val="both"/>
      </w:pPr>
      <w:r>
        <w:rPr>
          <w:rFonts w:ascii="Times New Roman" w:cs="Times New Roman" w:eastAsia="Times New Roman" w:hAnsi="Times New Roman"/>
          <w:sz w:val="24"/>
          <w:szCs w:val="24"/>
        </w:rPr>
        <w:t xml:space="preserve">The following terms are used throughout this report in the senses given here.</w:t>
      </w:r>
    </w:p>
    <w:p>
      <w:pPr>
        <w:spacing w:after="140" w:line="360"/>
        <w:ind w:left="360" w:hanging="0"/>
        <w:jc w:val="both"/>
      </w:pPr>
      <w:r>
        <w:rPr>
          <w:rFonts w:ascii="Times New Roman" w:cs="Times New Roman" w:eastAsia="Times New Roman" w:hAnsi="Times New Roman"/>
          <w:b/>
          <w:bCs/>
          <w:sz w:val="24"/>
          <w:szCs w:val="24"/>
        </w:rPr>
        <w:t xml:space="preserve">Household savings: </w:t>
      </w:r>
      <w:r>
        <w:rPr>
          <w:rFonts w:ascii="Times New Roman" w:cs="Times New Roman" w:eastAsia="Times New Roman" w:hAnsi="Times New Roman"/>
          <w:sz w:val="24"/>
          <w:szCs w:val="24"/>
        </w:rPr>
        <w:t xml:space="preserve">Money or value set aside by a household rather than spent, held through any mechanism including bank accounts, mobile money, cooperative or community savings groups, and cash retained at home.</w:t>
      </w:r>
    </w:p>
    <w:p>
      <w:pPr>
        <w:spacing w:after="140" w:line="360"/>
        <w:ind w:left="360" w:hanging="0"/>
        <w:jc w:val="both"/>
      </w:pPr>
      <w:r>
        <w:rPr>
          <w:rFonts w:ascii="Times New Roman" w:cs="Times New Roman" w:eastAsia="Times New Roman" w:hAnsi="Times New Roman"/>
          <w:b/>
          <w:bCs/>
          <w:sz w:val="24"/>
          <w:szCs w:val="24"/>
        </w:rPr>
        <w:t xml:space="preserve">Supervised learning: </w:t>
      </w:r>
      <w:r>
        <w:rPr>
          <w:rFonts w:ascii="Times New Roman" w:cs="Times New Roman" w:eastAsia="Times New Roman" w:hAnsi="Times New Roman"/>
          <w:sz w:val="24"/>
          <w:szCs w:val="24"/>
        </w:rPr>
        <w:t xml:space="preserve">A branch of machine learning in which a model is trained on records whose correct outcome is already known, so that it can predict the outcome for records it has not seen.</w:t>
      </w:r>
    </w:p>
    <w:p>
      <w:pPr>
        <w:spacing w:after="140" w:line="360"/>
        <w:ind w:left="360" w:hanging="0"/>
        <w:jc w:val="both"/>
      </w:pPr>
      <w:r>
        <w:rPr>
          <w:rFonts w:ascii="Times New Roman" w:cs="Times New Roman" w:eastAsia="Times New Roman" w:hAnsi="Times New Roman"/>
          <w:b/>
          <w:bCs/>
          <w:sz w:val="24"/>
          <w:szCs w:val="24"/>
        </w:rPr>
        <w:t xml:space="preserve">Binary classification: </w:t>
      </w:r>
      <w:r>
        <w:rPr>
          <w:rFonts w:ascii="Times New Roman" w:cs="Times New Roman" w:eastAsia="Times New Roman" w:hAnsi="Times New Roman"/>
          <w:sz w:val="24"/>
          <w:szCs w:val="24"/>
        </w:rPr>
        <w:t xml:space="preserve">A supervised learning task in which each record is assigned to one of two classes. Here the two classes are households that hold savings and households that do not.</w:t>
      </w:r>
    </w:p>
    <w:p>
      <w:pPr>
        <w:spacing w:after="140" w:line="360"/>
        <w:ind w:left="360" w:hanging="0"/>
        <w:jc w:val="both"/>
      </w:pPr>
      <w:r>
        <w:rPr>
          <w:rFonts w:ascii="Times New Roman" w:cs="Times New Roman" w:eastAsia="Times New Roman" w:hAnsi="Times New Roman"/>
          <w:b/>
          <w:bCs/>
          <w:sz w:val="24"/>
          <w:szCs w:val="24"/>
        </w:rPr>
        <w:t xml:space="preserve">Feature: </w:t>
      </w:r>
      <w:r>
        <w:rPr>
          <w:rFonts w:ascii="Times New Roman" w:cs="Times New Roman" w:eastAsia="Times New Roman" w:hAnsi="Times New Roman"/>
          <w:sz w:val="24"/>
          <w:szCs w:val="24"/>
        </w:rPr>
        <w:t xml:space="preserve">An input variable used by a model to make a prediction. In this study features describe household characteristics such as household size, education of the head and location.</w:t>
      </w:r>
    </w:p>
    <w:p>
      <w:pPr>
        <w:spacing w:after="140" w:line="360"/>
        <w:ind w:left="360" w:hanging="0"/>
        <w:jc w:val="both"/>
      </w:pPr>
      <w:r>
        <w:rPr>
          <w:rFonts w:ascii="Times New Roman" w:cs="Times New Roman" w:eastAsia="Times New Roman" w:hAnsi="Times New Roman"/>
          <w:b/>
          <w:bCs/>
          <w:sz w:val="24"/>
          <w:szCs w:val="24"/>
        </w:rPr>
        <w:t xml:space="preserve">Feature engineering: </w:t>
      </w:r>
      <w:r>
        <w:rPr>
          <w:rFonts w:ascii="Times New Roman" w:cs="Times New Roman" w:eastAsia="Times New Roman" w:hAnsi="Times New Roman"/>
          <w:sz w:val="24"/>
          <w:szCs w:val="24"/>
        </w:rPr>
        <w:t xml:space="preserve">The process of transforming raw survey variables into inputs suitable for a model, including encoding categories, aggregating individual records to household level and deriving new measures such as a dependency ratio.</w:t>
      </w:r>
    </w:p>
    <w:p>
      <w:pPr>
        <w:spacing w:after="140" w:line="360"/>
        <w:ind w:left="360" w:hanging="0"/>
        <w:jc w:val="both"/>
      </w:pPr>
      <w:r>
        <w:rPr>
          <w:rFonts w:ascii="Times New Roman" w:cs="Times New Roman" w:eastAsia="Times New Roman" w:hAnsi="Times New Roman"/>
          <w:b/>
          <w:bCs/>
          <w:sz w:val="24"/>
          <w:szCs w:val="24"/>
        </w:rPr>
        <w:t xml:space="preserve">Data leakage: </w:t>
      </w:r>
      <w:r>
        <w:rPr>
          <w:rFonts w:ascii="Times New Roman" w:cs="Times New Roman" w:eastAsia="Times New Roman" w:hAnsi="Times New Roman"/>
          <w:sz w:val="24"/>
          <w:szCs w:val="24"/>
        </w:rPr>
        <w:t xml:space="preserve">The use during training of information that would not be available at the moment of prediction, usually because a feature reveals or stands in for the outcome. Leakage inflates measured performance and causes the model to fail in real use.</w:t>
      </w:r>
    </w:p>
    <w:p>
      <w:pPr>
        <w:spacing w:after="140" w:line="360"/>
        <w:ind w:left="360" w:hanging="0"/>
        <w:jc w:val="both"/>
      </w:pPr>
      <w:r>
        <w:rPr>
          <w:rFonts w:ascii="Times New Roman" w:cs="Times New Roman" w:eastAsia="Times New Roman" w:hAnsi="Times New Roman"/>
          <w:b/>
          <w:bCs/>
          <w:sz w:val="24"/>
          <w:szCs w:val="24"/>
        </w:rPr>
        <w:t xml:space="preserve">Class imbalance: </w:t>
      </w:r>
      <w:r>
        <w:rPr>
          <w:rFonts w:ascii="Times New Roman" w:cs="Times New Roman" w:eastAsia="Times New Roman" w:hAnsi="Times New Roman"/>
          <w:sz w:val="24"/>
          <w:szCs w:val="24"/>
        </w:rPr>
        <w:t xml:space="preserve">A situation in which one outcome class contains far more records than the other, which can allow a model to record high accuracy while performing poorly on the smaller class.</w:t>
      </w:r>
    </w:p>
    <w:p>
      <w:pPr>
        <w:spacing w:after="140" w:line="360"/>
        <w:ind w:left="360" w:hanging="0"/>
        <w:jc w:val="both"/>
      </w:pPr>
      <w:r>
        <w:rPr>
          <w:rFonts w:ascii="Times New Roman" w:cs="Times New Roman" w:eastAsia="Times New Roman" w:hAnsi="Times New Roman"/>
          <w:b/>
          <w:bCs/>
          <w:sz w:val="24"/>
          <w:szCs w:val="24"/>
        </w:rPr>
        <w:t xml:space="preserve">Ensemble method: </w:t>
      </w:r>
      <w:r>
        <w:rPr>
          <w:rFonts w:ascii="Times New Roman" w:cs="Times New Roman" w:eastAsia="Times New Roman" w:hAnsi="Times New Roman"/>
          <w:sz w:val="24"/>
          <w:szCs w:val="24"/>
        </w:rPr>
        <w:t xml:space="preserve">A modelling technique that combines the predictions of many individual models, usually decision trees, to produce a result more accurate and more stable than any single model in the set.</w:t>
      </w:r>
    </w:p>
    <w:p>
      <w:pPr>
        <w:spacing w:after="140" w:line="360"/>
        <w:ind w:left="360" w:hanging="0"/>
        <w:jc w:val="both"/>
      </w:pPr>
      <w:r>
        <w:rPr>
          <w:rFonts w:ascii="Times New Roman" w:cs="Times New Roman" w:eastAsia="Times New Roman" w:hAnsi="Times New Roman"/>
          <w:b/>
          <w:bCs/>
          <w:sz w:val="24"/>
          <w:szCs w:val="24"/>
        </w:rPr>
        <w:t xml:space="preserve">Feature importance: </w:t>
      </w:r>
      <w:r>
        <w:rPr>
          <w:rFonts w:ascii="Times New Roman" w:cs="Times New Roman" w:eastAsia="Times New Roman" w:hAnsi="Times New Roman"/>
          <w:sz w:val="24"/>
          <w:szCs w:val="24"/>
        </w:rPr>
        <w:t xml:space="preserve">A measure of how much each input variable contributes to a model's predictions, used here to identify the household characteristics most associated with savings behaviour.</w:t>
      </w:r>
    </w:p>
    <w:p>
      <w:pPr>
        <w:spacing w:after="140" w:line="360"/>
        <w:ind w:left="360" w:hanging="0"/>
        <w:jc w:val="both"/>
      </w:pPr>
      <w:r>
        <w:rPr>
          <w:rFonts w:ascii="Times New Roman" w:cs="Times New Roman" w:eastAsia="Times New Roman" w:hAnsi="Times New Roman"/>
          <w:b/>
          <w:bCs/>
          <w:sz w:val="24"/>
          <w:szCs w:val="24"/>
        </w:rPr>
        <w:t xml:space="preserve">General Household Survey, Panel (GHS-Panel): </w:t>
      </w:r>
      <w:r>
        <w:rPr>
          <w:rFonts w:ascii="Times New Roman" w:cs="Times New Roman" w:eastAsia="Times New Roman" w:hAnsi="Times New Roman"/>
          <w:sz w:val="24"/>
          <w:szCs w:val="24"/>
        </w:rPr>
        <w:t xml:space="preserve">A nationally representative household survey conducted by the National Bureau of Statistics in partnership with the World Bank, which revisits the same households over successive waves.</w:t>
      </w:r>
    </w:p>
    <w:p>
      <w:pPr>
        <w:pStyle w:val="Heading1"/>
        <w:spacing w:after="160" w:before="320" w:line="360"/>
      </w:pPr>
      <w:r>
        <w:rPr>
          <w:rFonts w:ascii="Times New Roman" w:cs="Times New Roman" w:eastAsia="Times New Roman" w:hAnsi="Times New Roman"/>
          <w:b/>
          <w:bCs/>
          <w:color w:val="000000"/>
          <w:sz w:val="26"/>
          <w:szCs w:val="26"/>
        </w:rPr>
        <w:t xml:space="preserve">1.9  Organisation of the Report</w:t>
      </w:r>
    </w:p>
    <w:p>
      <w:pPr>
        <w:spacing w:after="160" w:line="360"/>
        <w:ind w:firstLine="0"/>
        <w:jc w:val="both"/>
      </w:pPr>
      <w:r>
        <w:rPr>
          <w:rFonts w:ascii="Times New Roman" w:cs="Times New Roman" w:eastAsia="Times New Roman" w:hAnsi="Times New Roman"/>
          <w:sz w:val="24"/>
          <w:szCs w:val="24"/>
        </w:rPr>
        <w:t xml:space="preserve">Chapter One has introduced the study, set out the problem it addresses, stated the aim and objectives, and explained why the work matters and what it does not cover. Chapter Two reviews the literature, covering the theory of household saving, the evidence on what drives saving in Nigeria and comparable economies, the use of household survey data for classification, and the methodological work on feature engineering, data leakage, algorithm choice and evaluation under class imbalance. Chapter Three describes the methodology, including the research design, the data source and how it will be acquired, the preparation and feature engineering pipeline, the algorithms selected, the training procedure and the evaluation plan. Chapter Four will present the results of the modelling work and discuss them. Chapter Five will summarise the study, state its conclusions and offer recommendations.</w:t>
      </w:r>
    </w:p>
    <w:p>
      <w:r>
        <w:br w:type="page"/>
      </w:r>
    </w:p>
    <w:p>
      <w:pPr>
        <w:spacing w:after="240" w:before="240" w:line="360"/>
        <w:jc w:val="center"/>
      </w:pPr>
      <w:r>
        <w:rPr>
          <w:rFonts w:ascii="Times New Roman" w:cs="Times New Roman" w:eastAsia="Times New Roman" w:hAnsi="Times New Roman"/>
          <w:b/>
          <w:bCs/>
          <w:sz w:val="28"/>
          <w:szCs w:val="28"/>
        </w:rPr>
        <w:t xml:space="preserve">CHAPTER TWO</w:t>
      </w:r>
    </w:p>
    <w:p>
      <w:pPr>
        <w:spacing w:after="240" w:before="240" w:line="360"/>
        <w:jc w:val="center"/>
      </w:pPr>
      <w:r>
        <w:rPr>
          <w:rFonts w:ascii="Times New Roman" w:cs="Times New Roman" w:eastAsia="Times New Roman" w:hAnsi="Times New Roman"/>
          <w:b/>
          <w:bCs/>
          <w:sz w:val="28"/>
          <w:szCs w:val="28"/>
        </w:rPr>
        <w:t xml:space="preserve">LITERATURE REVIEW</w:t>
      </w:r>
    </w:p>
    <w:p>
      <w:pPr>
        <w:pStyle w:val="Heading1"/>
        <w:spacing w:after="160" w:before="320" w:line="360"/>
      </w:pPr>
      <w:r>
        <w:rPr>
          <w:rFonts w:ascii="Times New Roman" w:cs="Times New Roman" w:eastAsia="Times New Roman" w:hAnsi="Times New Roman"/>
          <w:b/>
          <w:bCs/>
          <w:color w:val="000000"/>
          <w:sz w:val="26"/>
          <w:szCs w:val="26"/>
        </w:rPr>
        <w:t xml:space="preserve">2.1  Introduction</w:t>
      </w:r>
    </w:p>
    <w:p>
      <w:pPr>
        <w:spacing w:after="160" w:line="360"/>
        <w:ind w:firstLine="0"/>
        <w:jc w:val="both"/>
      </w:pPr>
      <w:r>
        <w:rPr>
          <w:rFonts w:ascii="Times New Roman" w:cs="Times New Roman" w:eastAsia="Times New Roman" w:hAnsi="Times New Roman"/>
          <w:sz w:val="24"/>
          <w:szCs w:val="24"/>
        </w:rPr>
        <w:t xml:space="preserve">This chapter reviews the research that supports the prediction of household savings behaviour in Nigeria using supervised machine learning. It has two aims. The first is to set out what recent studies show about why households save and which characteristics are linked to saving, drawing on evidence from Nigeria and from comparable developing economies. The second is to review the methods researchers have used to build classification models from household survey data, including how they prepare and merge survey files, engineer and select features, guard against data leakage, choose and compare algorithms, and evaluate results when one class is much larger than the other. The sections below follow that same order — theory, Nigerian evidence, survey data, feature engineering, leakage, algorithms, evaluation — rather than attempting a general survey of everything written on household saving. To keep the review current, it draws mainly on work published within roughly the last ten years, together with the survey dataset the project uses and the classic theoretical sources on which that recent work rests. Table 2.1 summarises the main studies discussed.</w:t>
      </w:r>
    </w:p>
    <w:p>
      <w:pPr>
        <w:spacing w:after="100" w:before="200" w:line="240"/>
      </w:pPr>
      <w:r>
        <w:rPr>
          <w:rFonts w:ascii="Times New Roman" w:cs="Times New Roman" w:eastAsia="Times New Roman" w:hAnsi="Times New Roman"/>
          <w:b/>
          <w:bCs/>
          <w:sz w:val="22"/>
          <w:szCs w:val="22"/>
        </w:rPr>
        <w:t xml:space="preserve">Table 2.1: Summary of the main studies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200"/>
        <w:gridCol w:w="2560"/>
      </w:tblGrid>
      <w:tr>
        <w:trPr>
          <w:tblHeader/>
        </w:trPr>
        <w:tc>
          <w:tcPr>
            <w:tcW w:type="dxa" w:w="230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Study (author, year)</w:t>
            </w:r>
          </w:p>
        </w:tc>
        <w:tc>
          <w:tcPr>
            <w:tcW w:type="dxa" w:w="230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Focus and context</w:t>
            </w:r>
          </w:p>
        </w:tc>
        <w:tc>
          <w:tcPr>
            <w:tcW w:type="dxa" w:w="220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Data or method</w:t>
            </w:r>
          </w:p>
        </w:tc>
        <w:tc>
          <w:tcPr>
            <w:tcW w:type="dxa" w:w="256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Finding relevant to this project</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Demirguc-Kunt, Klapper, Singer &amp; Ansar (2022)</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Global Findex 2021, financial inclusion</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Survey of about 128,000 adults in 123 economies</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Account ownership in developing economies reached 71% by 2021, up from 54% in 2014, yet saving through formal institutions lags behind account access.</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Mukaila, Falola &amp; Egwue (2021)</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Rural household income, Nigeria</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GHS-Panel data, 3,112 rural households, multiple regression</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Education, household size and gender of head shape income and so saving capacity; dependency ratio lowers it.</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Abubakar &amp; Illo (2026)</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Rural savings and financial inclusion, Kebbi State, Nigeria</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Survey of 240 rural households, regression</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Distance to banks reduces savings and limited savings capacity is the main barrier. Supports location and access features, though the sample is small and local.</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Muremyi, Haughton, Kabano &amp; Niragire (2020)</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Out-of-pocket health expenditure prediction, Rwanda</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EICV5, 14,580 households, tree-based machine learning</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Tree ensembles outperformed a single decision tree (87% against 74%); total household consumption was the most important predictor.</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Nkurunziza, Kabanda &amp; McSharry (2024)</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Household consumption classification, Rwanda</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EICV5, 14,580 households, 12 algorithms, 87 variables</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SVM, XGBoost and multinomial logit were most accurate (about 87-88%); food-related expenditure and household composition were most predictive.</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Hassan, Muse &amp; Chesneau (2024)</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Poverty determinants, Somalia</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2020 SDHS; random forest, decision tree, SVM, logistic regression</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Reports accuracy, precision, recall, F1 and AUROC for each model; random forest reached about 96% accuracy. Region, household size and residence mattered most.</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Salvador (2024)</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Household wealth quintiles, Philippines</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National survey data, boosting algorithms</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CatBoost (about 91%) and XGBoost (about 89%) led on accuracy, precision, recall and F1.</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Grinsztajn, Oyallon &amp; Varoquaux (2022)</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Algorithm behaviour on tabular data</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Benchmark across 45 datasets</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Tree-based models still outperform deep learning on typical tabular data, which guides algorithm choice here.</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Kapoor &amp; Narayanan (2023)</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Data leakage in applied machine learning</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Survey of research across many disciplines</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Leakage found in 17 fields, affecting 294 papers. Features derived from the target inflate measured performance; fit preprocessing on training data only.</w:t>
            </w:r>
          </w:p>
        </w:tc>
      </w:tr>
      <w:tr>
        <w:trPr>
          <w:tblHeader w:val="false"/>
        </w:trPr>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National Bureau of Statistics &amp; World Bank (2024)</w:t>
            </w:r>
          </w:p>
        </w:tc>
        <w:tc>
          <w:tcPr>
            <w:tcW w:type="dxa" w:w="23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The project's dataset</w:t>
            </w:r>
          </w:p>
        </w:tc>
        <w:tc>
          <w:tcPr>
            <w:tcW w:type="dxa" w:w="22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GHS-Panel Wave 5, roughly 5,000 households</w:t>
            </w:r>
          </w:p>
        </w:tc>
        <w:tc>
          <w:tcPr>
            <w:tcW w:type="dxa" w:w="25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Modules are stored separately with different keys, so building a household-level table needs careful merging.</w:t>
            </w:r>
          </w:p>
        </w:tc>
      </w:tr>
    </w:tbl>
    <w:p>
      <w:pPr>
        <w:spacing w:after="200"/>
      </w:pPr>
      <w:r>
        <w:rPr>
          <w:sz w:val="12"/>
          <w:szCs w:val="12"/>
        </w:rPr>
        <w:t xml:space="preserve"/>
      </w:r>
    </w:p>
    <w:p>
      <w:pPr>
        <w:pStyle w:val="Heading1"/>
        <w:spacing w:after="160" w:before="320" w:line="360"/>
      </w:pPr>
      <w:r>
        <w:rPr>
          <w:rFonts w:ascii="Times New Roman" w:cs="Times New Roman" w:eastAsia="Times New Roman" w:hAnsi="Times New Roman"/>
          <w:b/>
          <w:bCs/>
          <w:color w:val="000000"/>
          <w:sz w:val="26"/>
          <w:szCs w:val="26"/>
        </w:rPr>
        <w:t xml:space="preserve">2.2  Theoretical Background of Household Saving</w:t>
      </w:r>
    </w:p>
    <w:p>
      <w:pPr>
        <w:spacing w:after="160" w:line="360"/>
        <w:ind w:firstLine="0"/>
        <w:jc w:val="both"/>
      </w:pPr>
      <w:r>
        <w:rPr>
          <w:rFonts w:ascii="Times New Roman" w:cs="Times New Roman" w:eastAsia="Times New Roman" w:hAnsi="Times New Roman"/>
          <w:sz w:val="24"/>
          <w:szCs w:val="24"/>
        </w:rPr>
        <w:t xml:space="preserve">Two long-standing ideas from economics still frame most empirical work on saving, and both point to the household characteristics a model can use. The life-cycle account, developed by Modigliani and Brumberg, holds that people plan consumption across their whole lifetime rather than react to income in a single year. They borrow or run down assets when income is low, usually early and late in life, and save during the working years when income is higher. Sablik (2016), writing for the Federal Reserve Bank of Richmond, traces how this account displaced the simpler Keynesian consumption function once mid-century evidence showed that saving did not rise with income in the way that function predicted, and notes the later refinements that credit constraints, uncertainty and bequest motives introduced. The permanent income account set out by Friedman (1957) works on a related principle, holding that consumption tracks the income a household expects over the long run, so temporary gains such as a good harvest are mostly saved.</w:t>
      </w:r>
    </w:p>
    <w:p>
      <w:pPr>
        <w:spacing w:after="160" w:line="360"/>
        <w:ind w:firstLine="0"/>
        <w:jc w:val="both"/>
      </w:pPr>
      <w:r>
        <w:rPr>
          <w:rFonts w:ascii="Times New Roman" w:cs="Times New Roman" w:eastAsia="Times New Roman" w:hAnsi="Times New Roman"/>
          <w:sz w:val="24"/>
          <w:szCs w:val="24"/>
        </w:rPr>
        <w:t xml:space="preserve">For a savings model the useful implications are that the age of the household head and the source and stability of income all carry information about the likelihood of saving, which is why the proposal includes them among the candidate features.</w:t>
      </w:r>
    </w:p>
    <w:p>
      <w:pPr>
        <w:spacing w:after="160" w:line="360"/>
        <w:ind w:firstLine="0"/>
        <w:jc w:val="both"/>
      </w:pPr>
      <w:r>
        <w:rPr>
          <w:rFonts w:ascii="Times New Roman" w:cs="Times New Roman" w:eastAsia="Times New Roman" w:hAnsi="Times New Roman"/>
          <w:sz w:val="24"/>
          <w:szCs w:val="24"/>
        </w:rPr>
        <w:t xml:space="preserve">Recent empirical work adds a point that pure income-based theory can miss: whether a household saves also depends on the ease of reaching a savings mechanism, not on income alone. Access-to-services variables — whether the household uses a bank or mobile money account, for instance — sit in the feature set for that reason, alongside the demographic and income measures theory points to more directly.</w:t>
      </w:r>
    </w:p>
    <w:p>
      <w:pPr>
        <w:pStyle w:val="Heading1"/>
        <w:spacing w:after="160" w:before="320" w:line="360"/>
      </w:pPr>
      <w:r>
        <w:rPr>
          <w:rFonts w:ascii="Times New Roman" w:cs="Times New Roman" w:eastAsia="Times New Roman" w:hAnsi="Times New Roman"/>
          <w:b/>
          <w:bCs/>
          <w:color w:val="000000"/>
          <w:sz w:val="26"/>
          <w:szCs w:val="26"/>
        </w:rPr>
        <w:t xml:space="preserve">2.3  Determinants of Household Savings in Nigeria and Similar Economies</w:t>
      </w:r>
    </w:p>
    <w:p>
      <w:pPr>
        <w:spacing w:after="160" w:line="360"/>
        <w:ind w:firstLine="0"/>
        <w:jc w:val="both"/>
      </w:pPr>
      <w:r>
        <w:rPr>
          <w:rFonts w:ascii="Times New Roman" w:cs="Times New Roman" w:eastAsia="Times New Roman" w:hAnsi="Times New Roman"/>
          <w:sz w:val="24"/>
          <w:szCs w:val="24"/>
        </w:rPr>
        <w:t xml:space="preserve">Empirical studies of saving in developing economies point to a fairly consistent set of drivers, with income usually the strongest. Nigerian evidence fills in the local detail. Mukaila, Falola and Egwue (2021), working with General Household Survey panel data covering 3,112 rural households, found that the gender of the household head, household size and years of education were the factors that most raised rural household income, while a high dependency ratio lowered it. Since income and the capacity to save are closely linked, these variables are natural inputs for a savings model.</w:t>
      </w:r>
    </w:p>
    <w:p>
      <w:pPr>
        <w:spacing w:after="160" w:line="360"/>
        <w:ind w:firstLine="0"/>
        <w:jc w:val="both"/>
      </w:pPr>
      <w:r>
        <w:rPr>
          <w:rFonts w:ascii="Times New Roman" w:cs="Times New Roman" w:eastAsia="Times New Roman" w:hAnsi="Times New Roman"/>
          <w:sz w:val="24"/>
          <w:szCs w:val="24"/>
        </w:rPr>
        <w:t xml:space="preserve">Abubakar and Illo (2026) surveyed 240 rural households across four local government areas of Kebbi State and reported that expenditure and interest rates had positive effects on savings, while distance to the nearest bank reduced them. Limited savings capacity was the main barrier they identified, because household resources barely covered basic needs, and more than four in ten respondents had to travel between eleven and twenty kilometres to reach a financial institution. Two caveats apply before carrying this into a national model: the study is small and confined to one state, so its estimates should not be read as national figures; and, like most savings research, it relies on self-reported financial data, which households have some incentive to understate. Its value here is the direction of the effect it reports on distance, which shows that location and access to financial infrastructure, and not household demographics alone, help explain saving. This supports the proposal's decision to include state, urban or rural residence, and access to financial services among the features.</w:t>
      </w:r>
    </w:p>
    <w:p>
      <w:pPr>
        <w:pStyle w:val="Heading1"/>
        <w:spacing w:after="160" w:before="320" w:line="360"/>
      </w:pPr>
      <w:r>
        <w:rPr>
          <w:rFonts w:ascii="Times New Roman" w:cs="Times New Roman" w:eastAsia="Times New Roman" w:hAnsi="Times New Roman"/>
          <w:b/>
          <w:bCs/>
          <w:color w:val="000000"/>
          <w:sz w:val="26"/>
          <w:szCs w:val="26"/>
        </w:rPr>
        <w:t xml:space="preserve">2.4  Financial Inclusion and Savings Behaviour in Nigeria</w:t>
      </w:r>
    </w:p>
    <w:p>
      <w:pPr>
        <w:spacing w:after="160" w:line="360"/>
        <w:ind w:firstLine="0"/>
        <w:jc w:val="both"/>
      </w:pPr>
      <w:r>
        <w:rPr>
          <w:rFonts w:ascii="Times New Roman" w:cs="Times New Roman" w:eastAsia="Times New Roman" w:hAnsi="Times New Roman"/>
          <w:sz w:val="24"/>
          <w:szCs w:val="24"/>
        </w:rPr>
        <w:t xml:space="preserve">Financial inclusion research provides the wider context. The Global Findex Database, compiled by Demirguc-Kunt, Klapper, Singer and Ansar (2022) from a survey of about 128,000 adults across 123 economies, is the most widely used source on how adults save, borrow and make payments. It reported that account ownership in developing economies reached 71 percent by 2021, up from 54 percent in 2014, with mobile money driving much of the gain in sub-Saharan Africa. Account ownership, however, is not the same as saving. A household can hold an account without saving through it, and many households in the region save through informal means such as savings groups or cash held at home. Saving through a formal institution remains less common than account ownership.</w:t>
      </w:r>
    </w:p>
    <w:p>
      <w:pPr>
        <w:spacing w:after="160" w:line="360"/>
        <w:ind w:firstLine="0"/>
        <w:jc w:val="both"/>
      </w:pPr>
      <w:r>
        <w:rPr>
          <w:rFonts w:ascii="Times New Roman" w:cs="Times New Roman" w:eastAsia="Times New Roman" w:hAnsi="Times New Roman"/>
          <w:sz w:val="24"/>
          <w:szCs w:val="24"/>
        </w:rPr>
        <w:t xml:space="preserve">This distinction shapes how the project defines its target. The proposal predicts whether a household holds any savings rather than whether it owns an account. An access measure like account ownership is easier to obtain but, as the Findex evidence above shows, a poor stand-in for whether saving actually happens. The uneven spread of saving across income levels, locations and access to infrastructure is the pattern a classifier can learn from, and it is also why the results can point to households that are financially underserved.</w:t>
      </w:r>
    </w:p>
    <w:p>
      <w:pPr>
        <w:pStyle w:val="Heading1"/>
        <w:spacing w:after="160" w:before="320" w:line="360"/>
      </w:pPr>
      <w:r>
        <w:rPr>
          <w:rFonts w:ascii="Times New Roman" w:cs="Times New Roman" w:eastAsia="Times New Roman" w:hAnsi="Times New Roman"/>
          <w:b/>
          <w:bCs/>
          <w:color w:val="000000"/>
          <w:sz w:val="26"/>
          <w:szCs w:val="26"/>
        </w:rPr>
        <w:t xml:space="preserve">2.5  Household Survey Data as a Basis for Classification</w:t>
      </w:r>
    </w:p>
    <w:p>
      <w:pPr>
        <w:spacing w:after="160" w:line="360"/>
        <w:ind w:firstLine="0"/>
        <w:jc w:val="both"/>
      </w:pPr>
      <w:r>
        <w:rPr>
          <w:rFonts w:ascii="Times New Roman" w:cs="Times New Roman" w:eastAsia="Times New Roman" w:hAnsi="Times New Roman"/>
          <w:sz w:val="24"/>
          <w:szCs w:val="24"/>
        </w:rPr>
        <w:t xml:space="preserve">The first objective is to obtain and prepare a real household dataset for a binary classification task. The source is the Nigeria General Household Survey-Panel, Wave 5 (2023/24), conducted by the National Bureau of Statistics with the World Bank Living Standards Measurement Study team as part of the Integrated Surveys on Agriculture programme (National Bureau of Statistics &amp; World Bank, 2024). The design combines a refresh sample of about 3,600 households drawn from 360 enumeration areas with a long panel sample of 1,590 households from 159 enumeration areas that can be traced back to earlier waves, giving roughly five thousand households in total. The sample is representative of the six geopolitical zones, and each household is visited twice, once after planting between July and September 2023 and once after harvest between January and March 2024.</w:t>
      </w:r>
    </w:p>
    <w:p>
      <w:pPr>
        <w:spacing w:after="160" w:line="360"/>
        <w:ind w:firstLine="0"/>
        <w:jc w:val="both"/>
      </w:pPr>
      <w:r>
        <w:rPr>
          <w:rFonts w:ascii="Times New Roman" w:cs="Times New Roman" w:eastAsia="Times New Roman" w:hAnsi="Times New Roman"/>
          <w:sz w:val="24"/>
          <w:szCs w:val="24"/>
        </w:rPr>
        <w:t xml:space="preserve">Preparing this data for modelling is a substantial task in itself. The survey is not a single flat file. It is a set of modules, each stored separately, covering the household roster, education, labour, savings and insurance, credit, assets, housing and other topics. These modules do not all share the same unit of analysis. Some are recorded at the individual level and identified by an individual code, others at the household level by a household code, and still others by item or enterprise codes. Building a single household-level table therefore requires merging the modules on the correct keys and aggregating individual records up to the household, for example by summing or averaging member-level values to describe the whole household. This joining and cleaning work is a real part of the modelling pipeline rather than a preliminary step that can be assumed away.</w:t>
      </w:r>
    </w:p>
    <w:p>
      <w:pPr>
        <w:pStyle w:val="Heading1"/>
        <w:spacing w:after="160" w:before="320" w:line="360"/>
      </w:pPr>
      <w:r>
        <w:rPr>
          <w:rFonts w:ascii="Times New Roman" w:cs="Times New Roman" w:eastAsia="Times New Roman" w:hAnsi="Times New Roman"/>
          <w:b/>
          <w:bCs/>
          <w:color w:val="000000"/>
          <w:sz w:val="26"/>
          <w:szCs w:val="26"/>
        </w:rPr>
        <w:t xml:space="preserve">2.6  Feature Engineering and Feature Selection from Survey Data</w:t>
      </w:r>
    </w:p>
    <w:p>
      <w:pPr>
        <w:spacing w:after="160" w:line="360"/>
        <w:ind w:firstLine="0"/>
        <w:jc w:val="both"/>
      </w:pPr>
      <w:r>
        <w:rPr>
          <w:rFonts w:ascii="Times New Roman" w:cs="Times New Roman" w:eastAsia="Times New Roman" w:hAnsi="Times New Roman"/>
          <w:sz w:val="24"/>
          <w:szCs w:val="24"/>
        </w:rPr>
        <w:t xml:space="preserve">The second objective concerns identifying and engineering the features that describe a household. Recent studies that predict socio-economic outcomes from survey data show what this work involves. In their classification of household consumption in Rwanda, Nkurunziza, Kabanda and McSharry (2024) worked with 87 variables drawn from the EICV5 survey covering 14,580 households, and found that food-related expenditure and household composition measures were among the most predictive. Rwanda's survey design and economy are not Nigeria's, so this is a hint about which variables might matter here rather than a guarantee — a point that applies to the Somali and Filipino studies discussed below as well. Muremyi, Haughton, Kabano and Niragire (2020), predicting out-of-pocket health expenditure from the same Rwandan survey, reported that total household consumption was the most important predictor across the algorithms they tested, followed by the age of the household head and household size. Their study is not about savings, but it demonstrates that a small set of household-level economic and demographic variables carries most of the predictive signal in this type of data. Hassan, Muse and Chesneau (2024), predicting poverty in Somalia, reported the specific features that each model relied on most. Their paper is a useful template for something this project needs to do anyway: use feature-importance output not just to rank variables, but to explain what the model is doing.</w:t>
      </w:r>
    </w:p>
    <w:p>
      <w:pPr>
        <w:spacing w:after="160" w:line="360"/>
        <w:ind w:firstLine="0"/>
        <w:jc w:val="both"/>
      </w:pPr>
      <w:r>
        <w:rPr>
          <w:rFonts w:ascii="Times New Roman" w:cs="Times New Roman" w:eastAsia="Times New Roman" w:hAnsi="Times New Roman"/>
          <w:sz w:val="24"/>
          <w:szCs w:val="24"/>
        </w:rPr>
        <w:t xml:space="preserve">Two lessons follow for this project. Raw survey variables usually need transformation before use, since categorical fields have to be encoded, individual-level records have to be aggregated to the household, and derived measures such as a dependency ratio or a count of income sources often carry more signal than the raw fields. Beyond that, the determinant evidence reviewed above is a guide to which variables to engineer, because features with a known link to saving are more likely to be useful and easier to explain. Feature engineering therefore connects directly to the project's later goal of identifying the characteristics that most influence saving.</w:t>
      </w:r>
    </w:p>
    <w:p>
      <w:pPr>
        <w:pStyle w:val="Heading1"/>
        <w:spacing w:after="160" w:before="320" w:line="360"/>
      </w:pPr>
      <w:r>
        <w:rPr>
          <w:rFonts w:ascii="Times New Roman" w:cs="Times New Roman" w:eastAsia="Times New Roman" w:hAnsi="Times New Roman"/>
          <w:b/>
          <w:bCs/>
          <w:color w:val="000000"/>
          <w:sz w:val="26"/>
          <w:szCs w:val="26"/>
        </w:rPr>
        <w:t xml:space="preserve">2.7  Data Leakage and Its Prevention</w:t>
      </w:r>
    </w:p>
    <w:p>
      <w:pPr>
        <w:spacing w:after="160" w:line="360"/>
        <w:ind w:firstLine="0"/>
        <w:jc w:val="both"/>
      </w:pPr>
      <w:r>
        <w:rPr>
          <w:rFonts w:ascii="Times New Roman" w:cs="Times New Roman" w:eastAsia="Times New Roman" w:hAnsi="Times New Roman"/>
          <w:sz w:val="24"/>
          <w:szCs w:val="24"/>
        </w:rPr>
        <w:t xml:space="preserve">The proposal states that any variable that would directly reveal the target, such as a savings account balance, will be excluded to avoid data leakage. Recent methodological work supports this decision and explains why it matters. Kapoor and Narayanan (2023) surveyed machine-learning research across many disciplines and identified 17 fields in which leakage had been found, collectively affecting 294 papers, in some cases producing badly overoptimistic results. Leakage happens when information that would not be available at prediction time is used during training. A common form is target leakage, where a feature is a proxy for the outcome or sits downstream of it in the data collection process. A model built with such a feature reports high performance during testing and then fails in use, because the informative feature was standing in for the answer.</w:t>
      </w:r>
    </w:p>
    <w:p>
      <w:pPr>
        <w:spacing w:after="160" w:line="360"/>
        <w:ind w:firstLine="0"/>
        <w:jc w:val="both"/>
      </w:pPr>
      <w:r>
        <w:rPr>
          <w:rFonts w:ascii="Times New Roman" w:cs="Times New Roman" w:eastAsia="Times New Roman" w:hAnsi="Times New Roman"/>
          <w:sz w:val="24"/>
          <w:szCs w:val="24"/>
        </w:rPr>
        <w:t xml:space="preserve">For a model that predicts whether a household holds savings, the savings account balance is a clear leaking feature, since a non-zero balance almost defines the target. Excluding it, as the proposal does, keeps the task honest. Kapoor and Narayanan also flag a second pathway worth guarding against, namely fitting preprocessing steps such as scaling or imputation on the whole dataset before splitting it. The safe practice is to split first and fit any preprocessing only on the training data, so that information from the test set does not influence the model.</w:t>
      </w:r>
    </w:p>
    <w:p>
      <w:pPr>
        <w:pStyle w:val="Heading1"/>
        <w:spacing w:after="160" w:before="320" w:line="360"/>
      </w:pPr>
      <w:r>
        <w:rPr>
          <w:rFonts w:ascii="Times New Roman" w:cs="Times New Roman" w:eastAsia="Times New Roman" w:hAnsi="Times New Roman"/>
          <w:b/>
          <w:bCs/>
          <w:color w:val="000000"/>
          <w:sz w:val="26"/>
          <w:szCs w:val="26"/>
        </w:rPr>
        <w:t xml:space="preserve">2.8  Supervised Classification Algorithms for Socio-economic Prediction</w:t>
      </w:r>
    </w:p>
    <w:p>
      <w:pPr>
        <w:spacing w:after="160" w:line="360"/>
        <w:ind w:firstLine="0"/>
        <w:jc w:val="both"/>
      </w:pPr>
      <w:r>
        <w:rPr>
          <w:rFonts w:ascii="Times New Roman" w:cs="Times New Roman" w:eastAsia="Times New Roman" w:hAnsi="Times New Roman"/>
          <w:sz w:val="24"/>
          <w:szCs w:val="24"/>
        </w:rPr>
        <w:t xml:space="preserve">The third objective is to implement and compare several classification algorithms. The proposal names logistic regression, decision trees, random forest and gradient boosting, and recent studies show how these behave on household survey data.</w:t>
      </w:r>
    </w:p>
    <w:p>
      <w:pPr>
        <w:spacing w:after="160" w:line="360"/>
        <w:ind w:firstLine="0"/>
        <w:jc w:val="both"/>
      </w:pPr>
      <w:r>
        <w:rPr>
          <w:rFonts w:ascii="Times New Roman" w:cs="Times New Roman" w:eastAsia="Times New Roman" w:hAnsi="Times New Roman"/>
          <w:sz w:val="24"/>
          <w:szCs w:val="24"/>
        </w:rPr>
        <w:t xml:space="preserve">Logistic regression is the standard linear baseline for a binary target. Each coefficient describes the direction and size of a variable's effect, which makes it easy to interpret, but it can miss non-linear relationships and interactions. A decision tree captures non-linearities and mixed data types and reads as a set of rules, yet a single tree tends to overfit. Random forest reduces that problem by combining many trees trained on random subsets of the data and features, which lowers variance and usually improves accuracy, and it also reports a measure of feature importance. Gradient boosting, most often used through XGBoost, builds trees in sequence so that each one corrects the errors of the earlier ones, and it usually reaches the highest accuracy of the group while being more sensitive to its settings.</w:t>
      </w:r>
    </w:p>
    <w:p>
      <w:pPr>
        <w:spacing w:after="160" w:line="360"/>
        <w:ind w:firstLine="0"/>
        <w:jc w:val="both"/>
      </w:pPr>
      <w:r>
        <w:rPr>
          <w:rFonts w:ascii="Times New Roman" w:cs="Times New Roman" w:eastAsia="Times New Roman" w:hAnsi="Times New Roman"/>
          <w:sz w:val="24"/>
          <w:szCs w:val="24"/>
        </w:rPr>
        <w:t xml:space="preserve">Recent comparisons on survey data bear out these patterns. Muremyi et al. (2020) found that tree ensembles clearly outperformed a single decision tree on Rwandan household data, with a stochastic gradient boosting model reaching 87 percent accuracy and random forest 83 percent against 74 percent for a single tree. Nkurunziza et al. (2024) tested twelve algorithms on the same survey family and reported that a multiple-kernel support vector machine, XGBoost and a multinomial logit gave the best accuracy, in the range of about 87 to 88 percent. Hassan et al. (2024) compared random forest, a decision tree, a support vector machine and logistic regression on Somali survey data, and random forest was the clear winner at about 96 percent accuracy against 75 percent for logistic regression and 74 percent for the single tree. In the Philippines, Salvador (2024) classified household wealth quintiles and found that boosting methods led the field, with CatBoost at about 91 percent and XGBoost at about 89 percent across accuracy, precision, recall and F1.</w:t>
      </w:r>
    </w:p>
    <w:p>
      <w:pPr>
        <w:spacing w:after="160" w:line="360"/>
        <w:ind w:firstLine="0"/>
        <w:jc w:val="both"/>
      </w:pPr>
      <w:r>
        <w:rPr>
          <w:rFonts w:ascii="Times New Roman" w:cs="Times New Roman" w:eastAsia="Times New Roman" w:hAnsi="Times New Roman"/>
          <w:sz w:val="24"/>
          <w:szCs w:val="24"/>
        </w:rPr>
        <w:t xml:space="preserve">The accuracy figures above are worth reading as evidence that tree ensembles tend to do well on this kind of data, not as a benchmark this project's own models are expected to match, since each study drew on a different country, survey and target variable. A broader benchmark study puts that general pattern on firmer ground. Grinsztajn, Oyallon and Varoquaux (2022) tested tree-based models and neural networks across 45 datasets and found that tree-based models still perform better on typical tabular data, even after both were given equal budgets for tuning. That is a reason to concentrate on tree ensembles rather than deep learning for a tabular survey problem of this size. The trade-off across the group is between interpretability and accuracy: logistic regression and single trees are the easiest to explain, while ensembles are more accurate but need feature-importance methods to interpret.</w:t>
      </w:r>
    </w:p>
    <w:p>
      <w:pPr>
        <w:pStyle w:val="Heading1"/>
        <w:spacing w:after="160" w:before="320" w:line="360"/>
      </w:pPr>
      <w:r>
        <w:rPr>
          <w:rFonts w:ascii="Times New Roman" w:cs="Times New Roman" w:eastAsia="Times New Roman" w:hAnsi="Times New Roman"/>
          <w:b/>
          <w:bCs/>
          <w:color w:val="000000"/>
          <w:sz w:val="26"/>
          <w:szCs w:val="26"/>
        </w:rPr>
        <w:t xml:space="preserve">2.9  Model Evaluation and Class Imbalance</w:t>
      </w:r>
    </w:p>
    <w:p>
      <w:pPr>
        <w:spacing w:after="160" w:line="360"/>
        <w:ind w:firstLine="0"/>
        <w:jc w:val="both"/>
      </w:pPr>
      <w:r>
        <w:rPr>
          <w:rFonts w:ascii="Times New Roman" w:cs="Times New Roman" w:eastAsia="Times New Roman" w:hAnsi="Times New Roman"/>
          <w:sz w:val="24"/>
          <w:szCs w:val="24"/>
        </w:rPr>
        <w:t xml:space="preserve">The fourth objective is to evaluate the models with suitable metrics and to identify the most influential features. The choice of metric matters, because accuracy on its own can mislead. When one class is much larger than the other, a model that always predicts the majority class can record high accuracy while failing completely on the minority class. This is a real risk here, since savers and non-savers are unlikely to appear in equal numbers in the survey.</w:t>
      </w:r>
    </w:p>
    <w:p>
      <w:pPr>
        <w:spacing w:after="160" w:line="360"/>
        <w:ind w:firstLine="0"/>
        <w:jc w:val="both"/>
      </w:pPr>
      <w:r>
        <w:rPr>
          <w:rFonts w:ascii="Times New Roman" w:cs="Times New Roman" w:eastAsia="Times New Roman" w:hAnsi="Times New Roman"/>
          <w:sz w:val="24"/>
          <w:szCs w:val="24"/>
        </w:rPr>
        <w:t xml:space="preserve">For this reason recent applied studies report several metrics rather than accuracy alone. Precision measures how many of the households predicted to save actually do, recall measures how many of the true savers the model finds, and the F1 score is the harmonic mean of the two, which stays low unless both are reasonably high. The area under the ROC curve summarises how well the model separates the classes across all decision thresholds. Hassan et al. (2024) is a good example from the region, reporting the confusion matrix, accuracy, precision, recall, F1 and the area under the ROC curve for each model rather than accuracy on its own.</w:t>
      </w:r>
    </w:p>
    <w:p>
      <w:pPr>
        <w:spacing w:after="160" w:line="360"/>
        <w:ind w:firstLine="0"/>
        <w:jc w:val="both"/>
      </w:pPr>
      <w:r>
        <w:rPr>
          <w:rFonts w:ascii="Times New Roman" w:cs="Times New Roman" w:eastAsia="Times New Roman" w:hAnsi="Times New Roman"/>
          <w:sz w:val="24"/>
          <w:szCs w:val="24"/>
        </w:rPr>
        <w:t xml:space="preserve">Where the classes are very unequal, researchers rebalance the training data, for instance with the synthetic minority over-sampling technique, which creates new minority-class examples so that the model sees a more even split. One caution applies here as with leakage. Rebalancing is done only on the training data, and the test set keeps the real class distribution so that the reported performance reflects what the model would achieve in practice. On the second part of the objective, the feature-importance output of random forest and gradient boosting is the standard route to identifying which household characteristics most influence saving, which links evaluation back to the project's aim of guiding financial inclusion.</w:t>
      </w:r>
    </w:p>
    <w:p>
      <w:pPr>
        <w:pStyle w:val="Heading1"/>
        <w:spacing w:after="160" w:before="320" w:line="360"/>
      </w:pPr>
      <w:r>
        <w:rPr>
          <w:rFonts w:ascii="Times New Roman" w:cs="Times New Roman" w:eastAsia="Times New Roman" w:hAnsi="Times New Roman"/>
          <w:b/>
          <w:bCs/>
          <w:color w:val="000000"/>
          <w:sz w:val="26"/>
          <w:szCs w:val="26"/>
        </w:rPr>
        <w:t xml:space="preserve">2.10  Summary and Research Gap</w:t>
      </w:r>
    </w:p>
    <w:p>
      <w:pPr>
        <w:spacing w:after="160" w:line="360"/>
        <w:ind w:firstLine="0"/>
        <w:jc w:val="both"/>
      </w:pPr>
      <w:r>
        <w:rPr>
          <w:rFonts w:ascii="Times New Roman" w:cs="Times New Roman" w:eastAsia="Times New Roman" w:hAnsi="Times New Roman"/>
          <w:sz w:val="24"/>
          <w:szCs w:val="24"/>
        </w:rPr>
        <w:t xml:space="preserve">The studies reviewed here support the project from several directions. Economic theory explains why the age of the household head, income and access to financial services should predict saving. Recent Nigerian studies confirm that these characteristics matter and add local findings such as the effect of distance to a bank. Financial inclusion research shows that saving is distinct from account ownership and is spread unevenly across the population. That unevenness is precisely what makes it worth predicting rather than simply describing. The structure of the GHS-Panel shows that the data must be merged and cleaned across modules before modelling. Recent studies applying machine learning to household survey data in Africa and elsewhere show that this kind of classification is feasible and that tree ensembles perform well, while methodological work sets out how to avoid leakage and how to evaluate models when the classes are imbalanced.</w:t>
      </w:r>
    </w:p>
    <w:p>
      <w:pPr>
        <w:spacing w:after="160" w:line="360"/>
        <w:ind w:firstLine="0"/>
        <w:jc w:val="both"/>
      </w:pPr>
      <w:r>
        <w:rPr>
          <w:rFonts w:ascii="Times New Roman" w:cs="Times New Roman" w:eastAsia="Times New Roman" w:hAnsi="Times New Roman"/>
          <w:sz w:val="24"/>
          <w:szCs w:val="24"/>
        </w:rPr>
        <w:t xml:space="preserve">The gap this project addresses sits between these areas of work. Most Nigerian savings studies are descriptive or use regression to explain saving after the fact rather than to predict it for a new household. The machine-learning studies that do predict tend to target poverty, consumption or health expenditure, and few address the specific question of whether a household holds any savings. There is little work that combines the recent 2023/24 GHS-Panel with a supervised classification pipeline that controls for leakage, handles class imbalance with suitable metrics, and reads off the features most associated with saving. By building and comparing classifiers to predict household savings status from the latest GHS-Panel data, with attention to leakage and to imbalance-aware evaluation, and by identifying the characteristics that most influence saving, the project fills that gap and produces a tool that can help direct financial inclusion efforts in Nigeria.</w:t>
      </w:r>
    </w:p>
    <w:p>
      <w:r>
        <w:br w:type="page"/>
      </w:r>
    </w:p>
    <w:p>
      <w:pPr>
        <w:spacing w:after="240" w:before="240" w:line="360"/>
        <w:jc w:val="center"/>
      </w:pPr>
      <w:r>
        <w:rPr>
          <w:rFonts w:ascii="Times New Roman" w:cs="Times New Roman" w:eastAsia="Times New Roman" w:hAnsi="Times New Roman"/>
          <w:b/>
          <w:bCs/>
          <w:sz w:val="28"/>
          <w:szCs w:val="28"/>
        </w:rPr>
        <w:t xml:space="preserve">CHAPTER THREE</w:t>
      </w:r>
    </w:p>
    <w:p>
      <w:pPr>
        <w:spacing w:after="240" w:before="240" w:line="360"/>
        <w:jc w:val="center"/>
      </w:pPr>
      <w:r>
        <w:rPr>
          <w:rFonts w:ascii="Times New Roman" w:cs="Times New Roman" w:eastAsia="Times New Roman" w:hAnsi="Times New Roman"/>
          <w:b/>
          <w:bCs/>
          <w:sz w:val="28"/>
          <w:szCs w:val="28"/>
        </w:rPr>
        <w:t xml:space="preserve">RESEARCH METHODOLOGY</w:t>
      </w:r>
    </w:p>
    <w:p>
      <w:pPr>
        <w:pStyle w:val="Heading1"/>
        <w:spacing w:after="160" w:before="320" w:line="360"/>
      </w:pPr>
      <w:r>
        <w:rPr>
          <w:rFonts w:ascii="Times New Roman" w:cs="Times New Roman" w:eastAsia="Times New Roman" w:hAnsi="Times New Roman"/>
          <w:b/>
          <w:bCs/>
          <w:color w:val="000000"/>
          <w:sz w:val="26"/>
          <w:szCs w:val="26"/>
        </w:rPr>
        <w:t xml:space="preserve">3.1  Introduction</w:t>
      </w:r>
    </w:p>
    <w:p>
      <w:pPr>
        <w:spacing w:after="160" w:line="360"/>
        <w:ind w:firstLine="0"/>
        <w:jc w:val="both"/>
      </w:pPr>
      <w:r>
        <w:rPr>
          <w:rFonts w:ascii="Times New Roman" w:cs="Times New Roman" w:eastAsia="Times New Roman" w:hAnsi="Times New Roman"/>
          <w:sz w:val="24"/>
          <w:szCs w:val="24"/>
        </w:rPr>
        <w:t xml:space="preserve">This chapter sets out how the study will be carried out. It describes the research design, the source of the data and how it will be obtained, the steps taken to clean and prepare it, the features that will be engineered from it, the algorithms that will be trained on it, and the way their performance will be measured. The order of the sections follows the order of the work itself, from acquisition through to interpretation of the results.</w:t>
      </w:r>
    </w:p>
    <w:p>
      <w:pPr>
        <w:spacing w:after="160" w:line="360"/>
        <w:ind w:firstLine="0"/>
        <w:jc w:val="both"/>
      </w:pPr>
      <w:r>
        <w:rPr>
          <w:rFonts w:ascii="Times New Roman" w:cs="Times New Roman" w:eastAsia="Times New Roman" w:hAnsi="Times New Roman"/>
          <w:sz w:val="24"/>
          <w:szCs w:val="24"/>
        </w:rPr>
        <w:t xml:space="preserve">The procedures described here reflect the plan agreed at the proposal stage. Implementation has not yet begun, so specific parameter settings, imputation thresholds and the final composition of the feature set are stated as intentions and will be revised in the light of what the data turns out to contain. Any such revision will be documented in Chapter Four alongside the results.</w:t>
      </w:r>
    </w:p>
    <w:p>
      <w:pPr>
        <w:pStyle w:val="Heading1"/>
        <w:spacing w:after="160" w:before="320" w:line="360"/>
      </w:pPr>
      <w:r>
        <w:rPr>
          <w:rFonts w:ascii="Times New Roman" w:cs="Times New Roman" w:eastAsia="Times New Roman" w:hAnsi="Times New Roman"/>
          <w:b/>
          <w:bCs/>
          <w:color w:val="000000"/>
          <w:sz w:val="26"/>
          <w:szCs w:val="26"/>
        </w:rPr>
        <w:t xml:space="preserve">3.2  Research Design</w:t>
      </w:r>
    </w:p>
    <w:p>
      <w:pPr>
        <w:spacing w:after="160" w:line="360"/>
        <w:ind w:firstLine="0"/>
        <w:jc w:val="both"/>
      </w:pPr>
      <w:r>
        <w:rPr>
          <w:rFonts w:ascii="Times New Roman" w:cs="Times New Roman" w:eastAsia="Times New Roman" w:hAnsi="Times New Roman"/>
          <w:sz w:val="24"/>
          <w:szCs w:val="24"/>
        </w:rPr>
        <w:t xml:space="preserve">The study adopts a quantitative, experimental design based on secondary data. It is quantitative because the analysis rests entirely on numerical and categorical survey measurements, and experimental in the machine learning sense because several algorithms are trained under controlled and identical conditions and their outputs compared.</w:t>
      </w:r>
    </w:p>
    <w:p>
      <w:pPr>
        <w:spacing w:after="160" w:line="360"/>
        <w:ind w:firstLine="0"/>
        <w:jc w:val="both"/>
      </w:pPr>
      <w:r>
        <w:rPr>
          <w:rFonts w:ascii="Times New Roman" w:cs="Times New Roman" w:eastAsia="Times New Roman" w:hAnsi="Times New Roman"/>
          <w:sz w:val="24"/>
          <w:szCs w:val="24"/>
        </w:rPr>
        <w:t xml:space="preserve">The problem is framed as supervised binary classification. Each household in the dataset carries a known label indicating whether or not it holds savings, and the models learn the relationship between that label and the household's observable characteristics. Performance is judged on households the models were not trained on. That is the basic difference between a predictive study and an explanatory one, and it is why cross-validation and a held-out test set matter more here than they would in a regression aimed only at describing associations.</w:t>
      </w:r>
    </w:p>
    <w:p>
      <w:pPr>
        <w:spacing w:after="160" w:line="360"/>
        <w:ind w:firstLine="0"/>
        <w:jc w:val="both"/>
      </w:pPr>
      <w:r>
        <w:rPr>
          <w:rFonts w:ascii="Times New Roman" w:cs="Times New Roman" w:eastAsia="Times New Roman" w:hAnsi="Times New Roman"/>
          <w:sz w:val="24"/>
          <w:szCs w:val="24"/>
        </w:rPr>
        <w:t xml:space="preserve">A comparative element runs through the design. All four algorithms are trained on the same prepared dataset, using the same train and test split and the same preprocessing pipeline, so that any difference in their results can be attributed to the algorithms rather than to differences in the data they were given. Any difference in results, in other words, has to come from the algorithms rather than from one model getting an easier version of the data. Without that control, a recommendation about which model to prefer would not be defensible.</w:t>
      </w:r>
    </w:p>
    <w:p>
      <w:pPr>
        <w:pStyle w:val="Heading1"/>
        <w:spacing w:after="160" w:before="320" w:line="360"/>
      </w:pPr>
      <w:r>
        <w:rPr>
          <w:rFonts w:ascii="Times New Roman" w:cs="Times New Roman" w:eastAsia="Times New Roman" w:hAnsi="Times New Roman"/>
          <w:b/>
          <w:bCs/>
          <w:color w:val="000000"/>
          <w:sz w:val="26"/>
          <w:szCs w:val="26"/>
        </w:rPr>
        <w:t xml:space="preserve">3.3  Data Source and Description</w:t>
      </w:r>
    </w:p>
    <w:p>
      <w:pPr>
        <w:spacing w:after="160" w:line="360"/>
        <w:ind w:firstLine="0"/>
        <w:jc w:val="both"/>
      </w:pPr>
      <w:r>
        <w:rPr>
          <w:rFonts w:ascii="Times New Roman" w:cs="Times New Roman" w:eastAsia="Times New Roman" w:hAnsi="Times New Roman"/>
          <w:sz w:val="24"/>
          <w:szCs w:val="24"/>
        </w:rPr>
        <w:t xml:space="preserve">The study uses the Nigeria General Household Survey, Panel 2023 to 2024 (Wave 5), conducted by the National Bureau of Statistics in partnership with the World Bank Living Standards Measurement Study team under the Integrated Surveys on Agriculture programme (National Bureau of Statistics &amp; World Bank, 2024).</w:t>
      </w:r>
    </w:p>
    <w:p>
      <w:pPr>
        <w:spacing w:after="160" w:line="360"/>
        <w:ind w:firstLine="0"/>
        <w:jc w:val="both"/>
      </w:pPr>
      <w:r>
        <w:rPr>
          <w:rFonts w:ascii="Times New Roman" w:cs="Times New Roman" w:eastAsia="Times New Roman" w:hAnsi="Times New Roman"/>
          <w:sz w:val="24"/>
          <w:szCs w:val="24"/>
        </w:rPr>
        <w:t xml:space="preserve">The survey covers roughly five thousand households drawn from all six geopolitical zones of Nigeria. Its design combines a refresh sample of about 3,600 households selected from 360 enumeration areas with a long panel sample of 1,590 households from 159 enumeration areas that have been followed since earlier waves. Fieldwork was carried out in two visits, a post-planting visit between July and September 2023 and a post-harvest visit between January and March 2024, each followed by a tracking phase for households that had moved.</w:t>
      </w:r>
    </w:p>
    <w:p>
      <w:pPr>
        <w:spacing w:after="160" w:line="360"/>
        <w:ind w:firstLine="0"/>
        <w:jc w:val="both"/>
      </w:pPr>
      <w:r>
        <w:rPr>
          <w:rFonts w:ascii="Times New Roman" w:cs="Times New Roman" w:eastAsia="Times New Roman" w:hAnsi="Times New Roman"/>
          <w:sz w:val="24"/>
          <w:szCs w:val="24"/>
        </w:rPr>
        <w:t xml:space="preserve">Data is released as a set of Stata files, one for each survey module. The modules relevant to this study cover the household roster, education, labour and income sources, savings and insurance, credit, asset ownership, housing conditions and access to services. Secondary data was chosen over primary collection for practical and methodological reasons. The survey is nationally representative and professionally administered, it already records both the outcome of interest and a wide range of candidate predictors, and collecting comparable primary data across the country is well beyond the resources available for a course project.</w:t>
      </w:r>
    </w:p>
    <w:p>
      <w:pPr>
        <w:pStyle w:val="Heading1"/>
        <w:spacing w:after="160" w:before="320" w:line="360"/>
      </w:pPr>
      <w:r>
        <w:rPr>
          <w:rFonts w:ascii="Times New Roman" w:cs="Times New Roman" w:eastAsia="Times New Roman" w:hAnsi="Times New Roman"/>
          <w:b/>
          <w:bCs/>
          <w:color w:val="000000"/>
          <w:sz w:val="26"/>
          <w:szCs w:val="26"/>
        </w:rPr>
        <w:t xml:space="preserve">3.4  Data Acquisition Procedure</w:t>
      </w:r>
    </w:p>
    <w:p>
      <w:pPr>
        <w:spacing w:after="160" w:line="360"/>
        <w:ind w:firstLine="0"/>
        <w:jc w:val="both"/>
      </w:pPr>
      <w:r>
        <w:rPr>
          <w:rFonts w:ascii="Times New Roman" w:cs="Times New Roman" w:eastAsia="Times New Roman" w:hAnsi="Times New Roman"/>
          <w:sz w:val="24"/>
          <w:szCs w:val="24"/>
        </w:rPr>
        <w:t xml:space="preserve">The dataset is held in the World Bank Microdata Library under licensed access, which means it is free but requires registration and a stated purpose. The group will obtain it as follows:</w:t>
      </w:r>
    </w:p>
    <w:p>
      <w:pPr>
        <w:pStyle w:val="ListParagraph"/>
        <w:numPr>
          <w:ilvl w:val="0"/>
          <w:numId w:val="4"/>
        </w:numPr>
        <w:spacing w:after="100" w:line="360"/>
        <w:jc w:val="both"/>
      </w:pPr>
      <w:r>
        <w:rPr>
          <w:rFonts w:ascii="Times New Roman" w:cs="Times New Roman" w:eastAsia="Times New Roman" w:hAnsi="Times New Roman"/>
          <w:sz w:val="24"/>
          <w:szCs w:val="24"/>
        </w:rPr>
        <w:t xml:space="preserve">Create a free researcher account on the World Bank Microdata Library at microdata.worldbank.org.</w:t>
      </w:r>
    </w:p>
    <w:p>
      <w:pPr>
        <w:pStyle w:val="ListParagraph"/>
        <w:numPr>
          <w:ilvl w:val="0"/>
          <w:numId w:val="4"/>
        </w:numPr>
        <w:spacing w:after="100" w:line="360"/>
        <w:jc w:val="both"/>
      </w:pPr>
      <w:r>
        <w:rPr>
          <w:rFonts w:ascii="Times New Roman" w:cs="Times New Roman" w:eastAsia="Times New Roman" w:hAnsi="Times New Roman"/>
          <w:sz w:val="24"/>
          <w:szCs w:val="24"/>
        </w:rPr>
        <w:t xml:space="preserve">Locate and open the study page for the Nigeria General Household Survey, Panel 2023 to 2024 (Wave 5).</w:t>
      </w:r>
    </w:p>
    <w:p>
      <w:pPr>
        <w:pStyle w:val="ListParagraph"/>
        <w:numPr>
          <w:ilvl w:val="0"/>
          <w:numId w:val="4"/>
        </w:numPr>
        <w:spacing w:after="100" w:line="360"/>
        <w:jc w:val="both"/>
      </w:pPr>
      <w:r>
        <w:rPr>
          <w:rFonts w:ascii="Times New Roman" w:cs="Times New Roman" w:eastAsia="Times New Roman" w:hAnsi="Times New Roman"/>
          <w:sz w:val="24"/>
          <w:szCs w:val="24"/>
        </w:rPr>
        <w:t xml:space="preserve">Submit a request through the Get Microdata option, stating the purpose as undergraduate machine learning coursework, and accept the terms of use.</w:t>
      </w:r>
    </w:p>
    <w:p>
      <w:pPr>
        <w:pStyle w:val="ListParagraph"/>
        <w:numPr>
          <w:ilvl w:val="0"/>
          <w:numId w:val="4"/>
        </w:numPr>
        <w:spacing w:after="100" w:line="360"/>
        <w:jc w:val="both"/>
      </w:pPr>
      <w:r>
        <w:rPr>
          <w:rFonts w:ascii="Times New Roman" w:cs="Times New Roman" w:eastAsia="Times New Roman" w:hAnsi="Times New Roman"/>
          <w:sz w:val="24"/>
          <w:szCs w:val="24"/>
        </w:rPr>
        <w:t xml:space="preserve">Download the relevant survey section files once access is granted, which are supplied as Stata data files together with their questionnaires and codebooks.</w:t>
      </w:r>
    </w:p>
    <w:p>
      <w:pPr>
        <w:pStyle w:val="ListParagraph"/>
        <w:numPr>
          <w:ilvl w:val="0"/>
          <w:numId w:val="4"/>
        </w:numPr>
        <w:spacing w:after="100" w:line="360"/>
        <w:jc w:val="both"/>
      </w:pPr>
      <w:r>
        <w:rPr>
          <w:rFonts w:ascii="Times New Roman" w:cs="Times New Roman" w:eastAsia="Times New Roman" w:hAnsi="Times New Roman"/>
          <w:sz w:val="24"/>
          <w:szCs w:val="24"/>
        </w:rPr>
        <w:t xml:space="preserve">Load each file into Python using the pandas read_stata function, and merge the relevant sections on the household identifier to form a single analysis-ready table.</w:t>
      </w:r>
    </w:p>
    <w:p>
      <w:pPr>
        <w:spacing w:after="160" w:line="360"/>
        <w:ind w:firstLine="0"/>
        <w:jc w:val="both"/>
      </w:pPr>
      <w:r>
        <w:rPr>
          <w:rFonts w:ascii="Times New Roman" w:cs="Times New Roman" w:eastAsia="Times New Roman" w:hAnsi="Times New Roman"/>
          <w:sz w:val="24"/>
          <w:szCs w:val="24"/>
        </w:rPr>
        <w:t xml:space="preserve">The questionnaires and codebooks are downloaded alongside the data. They are needed to interpret variable names, which in surveys of this kind are short codes rather than descriptive labels, and to confirm the exact wording of the savings questions from which the target is derived.</w:t>
      </w:r>
    </w:p>
    <w:p>
      <w:pPr>
        <w:pStyle w:val="Heading1"/>
        <w:spacing w:after="160" w:before="320" w:line="360"/>
      </w:pPr>
      <w:r>
        <w:rPr>
          <w:rFonts w:ascii="Times New Roman" w:cs="Times New Roman" w:eastAsia="Times New Roman" w:hAnsi="Times New Roman"/>
          <w:b/>
          <w:bCs/>
          <w:color w:val="000000"/>
          <w:sz w:val="26"/>
          <w:szCs w:val="26"/>
        </w:rPr>
        <w:t xml:space="preserve">3.5  Data Preparation</w:t>
      </w:r>
    </w:p>
    <w:p>
      <w:pPr>
        <w:pStyle w:val="Heading2"/>
        <w:spacing w:after="120" w:before="260" w:line="360"/>
      </w:pPr>
      <w:r>
        <w:rPr>
          <w:rFonts w:ascii="Times New Roman" w:cs="Times New Roman" w:eastAsia="Times New Roman" w:hAnsi="Times New Roman"/>
          <w:b/>
          <w:bCs/>
          <w:color w:val="000000"/>
          <w:sz w:val="24"/>
          <w:szCs w:val="24"/>
        </w:rPr>
        <w:t xml:space="preserve">3.5.1  Merging the survey modules</w:t>
      </w:r>
    </w:p>
    <w:p>
      <w:pPr>
        <w:spacing w:after="160" w:line="360"/>
        <w:ind w:firstLine="0"/>
        <w:jc w:val="both"/>
      </w:pPr>
      <w:r>
        <w:rPr>
          <w:rFonts w:ascii="Times New Roman" w:cs="Times New Roman" w:eastAsia="Times New Roman" w:hAnsi="Times New Roman"/>
          <w:sz w:val="24"/>
          <w:szCs w:val="24"/>
        </w:rPr>
        <w:t xml:space="preserve">As noted in Chapter Two, the survey modules are not all recorded at the same level. Household-level modules such as housing and assets are keyed by a household identifier and can be joined directly. Individual-level modules such as the roster, education and labour are keyed by household identifier together with an individual code, and must be aggregated to the household before they can be joined.</w:t>
      </w:r>
    </w:p>
    <w:p>
      <w:pPr>
        <w:spacing w:after="160" w:line="360"/>
        <w:ind w:firstLine="0"/>
        <w:jc w:val="both"/>
      </w:pPr>
      <w:r>
        <w:rPr>
          <w:rFonts w:ascii="Times New Roman" w:cs="Times New Roman" w:eastAsia="Times New Roman" w:hAnsi="Times New Roman"/>
          <w:sz w:val="24"/>
          <w:szCs w:val="24"/>
        </w:rPr>
        <w:t xml:space="preserve">Aggregation is done in the way that best preserves meaning for each variable. Counts are used for the number of members and the number of income sources, sums for household-level totals, averages for member characteristics where an average is meaningful, and direct extraction where the variable belongs to the household head specifically, such as the head's age and education. Left joins from the household roster are used throughout so that no household is dropped merely because it is absent from a subsidiary module.</w:t>
      </w:r>
    </w:p>
    <w:p>
      <w:pPr>
        <w:pStyle w:val="Heading2"/>
        <w:spacing w:after="120" w:before="260" w:line="360"/>
      </w:pPr>
      <w:r>
        <w:rPr>
          <w:rFonts w:ascii="Times New Roman" w:cs="Times New Roman" w:eastAsia="Times New Roman" w:hAnsi="Times New Roman"/>
          <w:b/>
          <w:bCs/>
          <w:color w:val="000000"/>
          <w:sz w:val="24"/>
          <w:szCs w:val="24"/>
        </w:rPr>
        <w:t xml:space="preserve">3.5.2  Defining the target variable</w:t>
      </w:r>
    </w:p>
    <w:p>
      <w:pPr>
        <w:spacing w:after="160" w:line="360"/>
        <w:ind w:firstLine="0"/>
        <w:jc w:val="both"/>
      </w:pPr>
      <w:r>
        <w:rPr>
          <w:rFonts w:ascii="Times New Roman" w:cs="Times New Roman" w:eastAsia="Times New Roman" w:hAnsi="Times New Roman"/>
          <w:sz w:val="24"/>
          <w:szCs w:val="24"/>
        </w:rPr>
        <w:t xml:space="preserve">The target is a binary indicator taking the value one where the household reports holding any savings and zero where it does not. It is derived from the savings and insurance module of the survey. Any form of saving reported by the household counts towards a positive label, including bank deposits, mobile money balances held as savings, contributions to cooperative or community savings schemes and cash held at home for the purpose of saving.</w:t>
      </w:r>
    </w:p>
    <w:p>
      <w:pPr>
        <w:spacing w:after="160" w:line="360"/>
        <w:ind w:firstLine="0"/>
        <w:jc w:val="both"/>
      </w:pPr>
      <w:r>
        <w:rPr>
          <w:rFonts w:ascii="Times New Roman" w:cs="Times New Roman" w:eastAsia="Times New Roman" w:hAnsi="Times New Roman"/>
          <w:sz w:val="24"/>
          <w:szCs w:val="24"/>
        </w:rPr>
        <w:t xml:space="preserve">Households whose savings status cannot be determined, because the relevant questions were refused or left unanswered, are excluded from the modelling set rather than imputed. Imputing the outcome would mean training the model partly on invented labels, which would undermine the evaluation. The number of households excluded on this basis will be reported.</w:t>
      </w:r>
    </w:p>
    <w:p>
      <w:pPr>
        <w:pStyle w:val="Heading2"/>
        <w:spacing w:after="120" w:before="260" w:line="360"/>
      </w:pPr>
      <w:r>
        <w:rPr>
          <w:rFonts w:ascii="Times New Roman" w:cs="Times New Roman" w:eastAsia="Times New Roman" w:hAnsi="Times New Roman"/>
          <w:b/>
          <w:bCs/>
          <w:color w:val="000000"/>
          <w:sz w:val="24"/>
          <w:szCs w:val="24"/>
        </w:rPr>
        <w:t xml:space="preserve">3.5.3  Feature selection and leakage control</w:t>
      </w:r>
    </w:p>
    <w:p>
      <w:pPr>
        <w:spacing w:after="160" w:line="360"/>
        <w:ind w:firstLine="0"/>
        <w:jc w:val="both"/>
      </w:pPr>
      <w:r>
        <w:rPr>
          <w:rFonts w:ascii="Times New Roman" w:cs="Times New Roman" w:eastAsia="Times New Roman" w:hAnsi="Times New Roman"/>
          <w:sz w:val="24"/>
          <w:szCs w:val="24"/>
        </w:rPr>
        <w:t xml:space="preserve">Candidate features are drawn from the demographic, economic and access-to-services variables identified in Chapter Two as having a plausible link to saving. Table 3.1 lists the groups and gives examples of each.</w:t>
      </w:r>
    </w:p>
    <w:p>
      <w:pPr>
        <w:spacing w:after="100" w:before="200" w:line="240"/>
      </w:pPr>
      <w:r>
        <w:rPr>
          <w:rFonts w:ascii="Times New Roman" w:cs="Times New Roman" w:eastAsia="Times New Roman" w:hAnsi="Times New Roman"/>
          <w:b/>
          <w:bCs/>
          <w:sz w:val="22"/>
          <w:szCs w:val="22"/>
        </w:rPr>
        <w:t xml:space="preserve">Table 3.1: Candidate feature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Feature group</w:t>
            </w:r>
          </w:p>
        </w:tc>
        <w:tc>
          <w:tcPr>
            <w:tcW w:type="dxa" w:w="416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Examples</w:t>
            </w:r>
          </w:p>
        </w:tc>
        <w:tc>
          <w:tcPr>
            <w:tcW w:type="dxa" w:w="280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Basis for inclusion</w:t>
            </w:r>
          </w:p>
        </w:tc>
      </w:tr>
      <w:tr>
        <w:trPr>
          <w:tblHeader w:val="false"/>
        </w:trPr>
        <w:tc>
          <w:tcPr>
            <w:tcW w:type="dxa" w:w="24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Household composition</w:t>
            </w:r>
          </w:p>
        </w:tc>
        <w:tc>
          <w:tcPr>
            <w:tcW w:type="dxa" w:w="41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Household size, number of children, dependency ratio, number of income earners</w:t>
            </w:r>
          </w:p>
        </w:tc>
        <w:tc>
          <w:tcPr>
            <w:tcW w:type="dxa" w:w="28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Mukaila et al. (2021); Nkurunziza et al. (2024)</w:t>
            </w:r>
          </w:p>
        </w:tc>
      </w:tr>
      <w:tr>
        <w:trPr>
          <w:tblHeader w:val="false"/>
        </w:trPr>
        <w:tc>
          <w:tcPr>
            <w:tcW w:type="dxa" w:w="24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Household head characteristics</w:t>
            </w:r>
          </w:p>
        </w:tc>
        <w:tc>
          <w:tcPr>
            <w:tcW w:type="dxa" w:w="41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Age, sex, marital status, highest education level completed</w:t>
            </w:r>
          </w:p>
        </w:tc>
        <w:tc>
          <w:tcPr>
            <w:tcW w:type="dxa" w:w="28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Life-cycle theory (Sablik, 2016); Mukaila et al. (2021)</w:t>
            </w:r>
          </w:p>
        </w:tc>
      </w:tr>
      <w:tr>
        <w:trPr>
          <w:tblHeader w:val="false"/>
        </w:trPr>
        <w:tc>
          <w:tcPr>
            <w:tcW w:type="dxa" w:w="24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Income and livelihood</w:t>
            </w:r>
          </w:p>
        </w:tc>
        <w:tc>
          <w:tcPr>
            <w:tcW w:type="dxa" w:w="41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Main income source, number of income sources, sector of employment, whether the household farms</w:t>
            </w:r>
          </w:p>
        </w:tc>
        <w:tc>
          <w:tcPr>
            <w:tcW w:type="dxa" w:w="28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Friedman (1957); Abubakar &amp; Illo (2026)</w:t>
            </w:r>
          </w:p>
        </w:tc>
      </w:tr>
      <w:tr>
        <w:trPr>
          <w:tblHeader w:val="false"/>
        </w:trPr>
        <w:tc>
          <w:tcPr>
            <w:tcW w:type="dxa" w:w="24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Location</w:t>
            </w:r>
          </w:p>
        </w:tc>
        <w:tc>
          <w:tcPr>
            <w:tcW w:type="dxa" w:w="41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State, geopolitical zone, urban or rural residence</w:t>
            </w:r>
          </w:p>
        </w:tc>
        <w:tc>
          <w:tcPr>
            <w:tcW w:type="dxa" w:w="28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Abubakar &amp; Illo (2026); Hassan et al. (2024)</w:t>
            </w:r>
          </w:p>
        </w:tc>
      </w:tr>
      <w:tr>
        <w:trPr>
          <w:tblHeader w:val="false"/>
        </w:trPr>
        <w:tc>
          <w:tcPr>
            <w:tcW w:type="dxa" w:w="24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Assets and housing</w:t>
            </w:r>
          </w:p>
        </w:tc>
        <w:tc>
          <w:tcPr>
            <w:tcW w:type="dxa" w:w="41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Ownership of key durable assets, dwelling type, tenure, source of lighting and water</w:t>
            </w:r>
          </w:p>
        </w:tc>
        <w:tc>
          <w:tcPr>
            <w:tcW w:type="dxa" w:w="28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Salvador (2024); standard wealth proxies</w:t>
            </w:r>
          </w:p>
        </w:tc>
      </w:tr>
      <w:tr>
        <w:trPr>
          <w:tblHeader w:val="false"/>
        </w:trPr>
        <w:tc>
          <w:tcPr>
            <w:tcW w:type="dxa" w:w="24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Access to financial services</w:t>
            </w:r>
          </w:p>
        </w:tc>
        <w:tc>
          <w:tcPr>
            <w:tcW w:type="dxa" w:w="41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Bank account ownership, mobile money use, distance to nearest financial institution, credit access</w:t>
            </w:r>
          </w:p>
        </w:tc>
        <w:tc>
          <w:tcPr>
            <w:tcW w:type="dxa" w:w="28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Demirguc-Kunt et al. (2022); Abubakar &amp; Illo (2026)</w:t>
            </w:r>
          </w:p>
        </w:tc>
      </w:tr>
    </w:tbl>
    <w:p>
      <w:pPr>
        <w:spacing w:after="200"/>
      </w:pPr>
      <w:r>
        <w:rPr>
          <w:sz w:val="12"/>
          <w:szCs w:val="12"/>
        </w:rPr>
        <w:t xml:space="preserve"/>
      </w:r>
    </w:p>
    <w:p>
      <w:pPr>
        <w:spacing w:after="160" w:line="360"/>
        <w:ind w:firstLine="0"/>
        <w:jc w:val="both"/>
      </w:pPr>
      <w:r>
        <w:rPr>
          <w:rFonts w:ascii="Times New Roman" w:cs="Times New Roman" w:eastAsia="Times New Roman" w:hAnsi="Times New Roman"/>
          <w:sz w:val="24"/>
          <w:szCs w:val="24"/>
        </w:rPr>
        <w:t xml:space="preserve">Leakage control follows the guidance of Kapoor and Narayanan (2023) and operates at two levels. At the feature level, any variable that reveals or stands in for the outcome is removed. This includes savings account balances, amounts saved, the frequency of saving and any variable that is only recorded for households that already save. Where there is doubt about whether a variable sits downstream of the target in the questionnaire, the codebook is consulted and the variable is excluded if the doubt remains.</w:t>
      </w:r>
    </w:p>
    <w:p>
      <w:pPr>
        <w:spacing w:after="160" w:line="360"/>
        <w:ind w:firstLine="0"/>
        <w:jc w:val="both"/>
      </w:pPr>
      <w:r>
        <w:rPr>
          <w:rFonts w:ascii="Times New Roman" w:cs="Times New Roman" w:eastAsia="Times New Roman" w:hAnsi="Times New Roman"/>
          <w:sz w:val="24"/>
          <w:szCs w:val="24"/>
        </w:rPr>
        <w:t xml:space="preserve">At the pipeline level, the dataset is split into training and test sets before any preprocessing is fitted. Imputation values, encoders and scalers are learned from the training data alone and then applied to the test data. This is enforced by building the preprocessing steps and the estimator into a single scikit-learn pipeline object, so that fitting the pipeline inside a cross-validation fold cannot accidentally use information from outside that fold.</w:t>
      </w:r>
    </w:p>
    <w:p>
      <w:pPr>
        <w:pStyle w:val="Heading2"/>
        <w:spacing w:after="120" w:before="260" w:line="360"/>
      </w:pPr>
      <w:r>
        <w:rPr>
          <w:rFonts w:ascii="Times New Roman" w:cs="Times New Roman" w:eastAsia="Times New Roman" w:hAnsi="Times New Roman"/>
          <w:b/>
          <w:bCs/>
          <w:color w:val="000000"/>
          <w:sz w:val="24"/>
          <w:szCs w:val="24"/>
        </w:rPr>
        <w:t xml:space="preserve">3.5.4  Handling missing values</w:t>
      </w:r>
    </w:p>
    <w:p>
      <w:pPr>
        <w:spacing w:after="160" w:line="360"/>
        <w:ind w:firstLine="0"/>
        <w:jc w:val="both"/>
      </w:pPr>
      <w:r>
        <w:rPr>
          <w:rFonts w:ascii="Times New Roman" w:cs="Times New Roman" w:eastAsia="Times New Roman" w:hAnsi="Times New Roman"/>
          <w:sz w:val="24"/>
          <w:szCs w:val="24"/>
        </w:rPr>
        <w:t xml:space="preserve">Missing responses are expected in a survey of this size and are handled according to how much of a variable is missing. Variables missing for more than about forty percent of households are dropped, since imputing that proportion introduces more noise than information. For the remainder, numerical variables are imputed with the training-set median, which is less sensitive to outliers than the mean, and categorical variables are given an explicit category for a missing response rather than being filled with the most frequent value. Treating a missing categorical response as its own category is preferable here because non-response in financial questions is often informative in itself.</w:t>
      </w:r>
    </w:p>
    <w:p>
      <w:pPr>
        <w:pStyle w:val="Heading2"/>
        <w:spacing w:after="120" w:before="260" w:line="360"/>
      </w:pPr>
      <w:r>
        <w:rPr>
          <w:rFonts w:ascii="Times New Roman" w:cs="Times New Roman" w:eastAsia="Times New Roman" w:hAnsi="Times New Roman"/>
          <w:b/>
          <w:bCs/>
          <w:color w:val="000000"/>
          <w:sz w:val="24"/>
          <w:szCs w:val="24"/>
        </w:rPr>
        <w:t xml:space="preserve">3.5.5  Encoding and scaling</w:t>
      </w:r>
    </w:p>
    <w:p>
      <w:pPr>
        <w:spacing w:after="160" w:line="360"/>
        <w:ind w:firstLine="0"/>
        <w:jc w:val="both"/>
      </w:pPr>
      <w:r>
        <w:rPr>
          <w:rFonts w:ascii="Times New Roman" w:cs="Times New Roman" w:eastAsia="Times New Roman" w:hAnsi="Times New Roman"/>
          <w:sz w:val="24"/>
          <w:szCs w:val="24"/>
        </w:rPr>
        <w:t xml:space="preserve">Categorical variables are encoded before modelling. Nominal variables with a small number of levels, such as urban or rural residence and main income source, are one-hot encoded. Variables with a natural order, such as the education level of the household head, are given ordinal codes that preserve that order. High-cardinality variables such as state are handled either by one-hot encoding or by grouping into geopolitical zones, depending on how the resulting number of columns affects model performance.</w:t>
      </w:r>
    </w:p>
    <w:p>
      <w:pPr>
        <w:spacing w:after="160" w:line="360"/>
        <w:ind w:firstLine="0"/>
        <w:jc w:val="both"/>
      </w:pPr>
      <w:r>
        <w:rPr>
          <w:rFonts w:ascii="Times New Roman" w:cs="Times New Roman" w:eastAsia="Times New Roman" w:hAnsi="Times New Roman"/>
          <w:sz w:val="24"/>
          <w:szCs w:val="24"/>
        </w:rPr>
        <w:t xml:space="preserve">Numerical features are standardised for logistic regression, which is sensitive to the scale of its inputs. The tree-based models do not require scaling because their splits depend on the order of values rather than their magnitude, so scaling is applied within the logistic regression pipeline only.</w:t>
      </w:r>
    </w:p>
    <w:p>
      <w:pPr>
        <w:pStyle w:val="Heading1"/>
        <w:spacing w:after="160" w:before="320" w:line="360"/>
      </w:pPr>
      <w:r>
        <w:rPr>
          <w:rFonts w:ascii="Times New Roman" w:cs="Times New Roman" w:eastAsia="Times New Roman" w:hAnsi="Times New Roman"/>
          <w:b/>
          <w:bCs/>
          <w:color w:val="000000"/>
          <w:sz w:val="26"/>
          <w:szCs w:val="26"/>
        </w:rPr>
        <w:t xml:space="preserve">3.6  Data Splitting and Class Imbalance</w:t>
      </w:r>
    </w:p>
    <w:p>
      <w:pPr>
        <w:spacing w:after="160" w:line="360"/>
        <w:ind w:firstLine="0"/>
        <w:jc w:val="both"/>
      </w:pPr>
      <w:r>
        <w:rPr>
          <w:rFonts w:ascii="Times New Roman" w:cs="Times New Roman" w:eastAsia="Times New Roman" w:hAnsi="Times New Roman"/>
          <w:sz w:val="24"/>
          <w:szCs w:val="24"/>
        </w:rPr>
        <w:t xml:space="preserve">The prepared dataset is divided into a training set and a test set in an eighty to twenty ratio, using stratified sampling so that the proportion of savers and non-savers is the same in both. The test set is held back entirely until final evaluation and is used once, to report the results in Chapter Four. All model selection and tuning is done on the training set using five-fold stratified cross-validation.</w:t>
      </w:r>
    </w:p>
    <w:p>
      <w:pPr>
        <w:spacing w:after="160" w:line="360"/>
        <w:ind w:firstLine="0"/>
        <w:jc w:val="both"/>
      </w:pPr>
      <w:r>
        <w:rPr>
          <w:rFonts w:ascii="Times New Roman" w:cs="Times New Roman" w:eastAsia="Times New Roman" w:hAnsi="Times New Roman"/>
          <w:sz w:val="24"/>
          <w:szCs w:val="24"/>
        </w:rPr>
        <w:t xml:space="preserve">The distribution of the target is not known in advance and will be reported once the data is prepared. If the classes turn out to be substantially unequal, two remedies are available. The first is to weight the classes inversely to their frequency, which most scikit-learn estimators and XGBoost support directly and which requires no change to the data. The second is to oversample the minority class in the training data using the synthetic minority over-sampling technique. Where oversampling is used it is applied inside each cross-validation fold, to the training portion only, and never to the test set, which retains the natural class distribution so that reported performance reflects what the model would achieve in practice.</w:t>
      </w:r>
    </w:p>
    <w:p>
      <w:pPr>
        <w:pStyle w:val="Heading1"/>
        <w:spacing w:after="160" w:before="320" w:line="360"/>
      </w:pPr>
      <w:r>
        <w:rPr>
          <w:rFonts w:ascii="Times New Roman" w:cs="Times New Roman" w:eastAsia="Times New Roman" w:hAnsi="Times New Roman"/>
          <w:b/>
          <w:bCs/>
          <w:color w:val="000000"/>
          <w:sz w:val="26"/>
          <w:szCs w:val="26"/>
        </w:rPr>
        <w:t xml:space="preserve">3.7  Machine Learning Algorithms</w:t>
      </w:r>
    </w:p>
    <w:p>
      <w:pPr>
        <w:spacing w:after="160" w:line="360"/>
        <w:ind w:firstLine="0"/>
        <w:jc w:val="both"/>
      </w:pPr>
      <w:r>
        <w:rPr>
          <w:rFonts w:ascii="Times New Roman" w:cs="Times New Roman" w:eastAsia="Times New Roman" w:hAnsi="Times New Roman"/>
          <w:sz w:val="24"/>
          <w:szCs w:val="24"/>
        </w:rPr>
        <w:t xml:space="preserve">Four supervised classification algorithms are implemented and compared. Table 3.2 summarises the role each plays in the study.</w:t>
      </w:r>
    </w:p>
    <w:p>
      <w:pPr>
        <w:spacing w:after="100" w:before="200" w:line="240"/>
      </w:pPr>
      <w:r>
        <w:rPr>
          <w:rFonts w:ascii="Times New Roman" w:cs="Times New Roman" w:eastAsia="Times New Roman" w:hAnsi="Times New Roman"/>
          <w:b/>
          <w:bCs/>
          <w:sz w:val="22"/>
          <w:szCs w:val="22"/>
        </w:rPr>
        <w:t xml:space="preserve">Table 3.2: Algorithms selected for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Algorithm</w:t>
            </w:r>
          </w:p>
        </w:tc>
        <w:tc>
          <w:tcPr>
            <w:tcW w:type="dxa" w:w="436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Role in the study</w:t>
            </w:r>
          </w:p>
        </w:tc>
        <w:tc>
          <w:tcPr>
            <w:tcW w:type="dxa" w:w="3000"/>
            <w:shd w:fill="D9D9D9" w:val="clear"/>
            <w:tcMar>
              <w:top w:type="dxa" w:w="80"/>
              <w:left w:type="dxa" w:w="100"/>
              <w:bottom w:type="dxa" w:w="80"/>
              <w:right w:type="dxa" w:w="100"/>
            </w:tcMar>
          </w:tcPr>
          <w:p>
            <w:pPr>
              <w:spacing w:after="40" w:before="40" w:line="240"/>
            </w:pPr>
            <w:r>
              <w:rPr>
                <w:rFonts w:ascii="Times New Roman" w:cs="Times New Roman" w:eastAsia="Times New Roman" w:hAnsi="Times New Roman"/>
                <w:b/>
                <w:bCs/>
                <w:sz w:val="20"/>
                <w:szCs w:val="20"/>
              </w:rPr>
              <w:t xml:space="preserve">Key strength</w:t>
            </w:r>
          </w:p>
        </w:tc>
      </w:tr>
      <w:tr>
        <w:trPr>
          <w:tblHeader w:val="false"/>
        </w:trPr>
        <w:tc>
          <w:tcPr>
            <w:tcW w:type="dxa" w:w="20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Logistic Regression</w:t>
            </w:r>
          </w:p>
        </w:tc>
        <w:tc>
          <w:tcPr>
            <w:tcW w:type="dxa" w:w="43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Baseline classification model providing an interpretable starting point, with coefficients readable as odds ratios.</w:t>
            </w:r>
          </w:p>
        </w:tc>
        <w:tc>
          <w:tcPr>
            <w:tcW w:type="dxa" w:w="30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Simple, fast and easy to interpret</w:t>
            </w:r>
          </w:p>
        </w:tc>
      </w:tr>
      <w:tr>
        <w:trPr>
          <w:tblHeader w:val="false"/>
        </w:trPr>
        <w:tc>
          <w:tcPr>
            <w:tcW w:type="dxa" w:w="20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Decision Tree</w:t>
            </w:r>
          </w:p>
        </w:tc>
        <w:tc>
          <w:tcPr>
            <w:tcW w:type="dxa" w:w="43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Captures non-linear relationships and interactions between features using human-readable rules.</w:t>
            </w:r>
          </w:p>
        </w:tc>
        <w:tc>
          <w:tcPr>
            <w:tcW w:type="dxa" w:w="30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Interpretable, handles mixed data types</w:t>
            </w:r>
          </w:p>
        </w:tc>
      </w:tr>
      <w:tr>
        <w:trPr>
          <w:tblHeader w:val="false"/>
        </w:trPr>
        <w:tc>
          <w:tcPr>
            <w:tcW w:type="dxa" w:w="20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Random Forest</w:t>
            </w:r>
          </w:p>
        </w:tc>
        <w:tc>
          <w:tcPr>
            <w:tcW w:type="dxa" w:w="43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Ensemble of decision trees used to improve predictive accuracy and to rank feature importance.</w:t>
            </w:r>
          </w:p>
        </w:tc>
        <w:tc>
          <w:tcPr>
            <w:tcW w:type="dxa" w:w="30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Robust and resistant to overfitting</w:t>
            </w:r>
          </w:p>
        </w:tc>
      </w:tr>
      <w:tr>
        <w:trPr>
          <w:tblHeader w:val="false"/>
        </w:trPr>
        <w:tc>
          <w:tcPr>
            <w:tcW w:type="dxa" w:w="20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Gradient Boosting (XGBoost)</w:t>
            </w:r>
          </w:p>
        </w:tc>
        <w:tc>
          <w:tcPr>
            <w:tcW w:type="dxa" w:w="436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Advanced ensemble method used to obtain the strongest predictive performance on structured survey data.</w:t>
            </w:r>
          </w:p>
        </w:tc>
        <w:tc>
          <w:tcPr>
            <w:tcW w:type="dxa" w:w="3000"/>
            <w:tcMar>
              <w:top w:type="dxa" w:w="80"/>
              <w:left w:type="dxa" w:w="100"/>
              <w:bottom w:type="dxa" w:w="80"/>
              <w:right w:type="dxa" w:w="100"/>
            </w:tcMar>
          </w:tcPr>
          <w:p>
            <w:pPr>
              <w:spacing w:after="40" w:before="40" w:line="240"/>
            </w:pPr>
            <w:r>
              <w:rPr>
                <w:rFonts w:ascii="Times New Roman" w:cs="Times New Roman" w:eastAsia="Times New Roman" w:hAnsi="Times New Roman"/>
                <w:b w:val="false"/>
                <w:bCs w:val="false"/>
                <w:sz w:val="20"/>
                <w:szCs w:val="20"/>
              </w:rPr>
              <w:t xml:space="preserve">High predictive performance on tabular data</w:t>
            </w:r>
          </w:p>
        </w:tc>
      </w:tr>
    </w:tbl>
    <w:p>
      <w:pPr>
        <w:spacing w:after="200"/>
      </w:pPr>
      <w:r>
        <w:rPr>
          <w:sz w:val="12"/>
          <w:szCs w:val="12"/>
        </w:rPr>
        <w:t xml:space="preserve"/>
      </w:r>
    </w:p>
    <w:p>
      <w:pPr>
        <w:spacing w:after="160" w:line="360"/>
        <w:ind w:firstLine="0"/>
        <w:jc w:val="both"/>
      </w:pPr>
      <w:r>
        <w:rPr>
          <w:rFonts w:ascii="Times New Roman" w:cs="Times New Roman" w:eastAsia="Times New Roman" w:hAnsi="Times New Roman"/>
          <w:sz w:val="24"/>
          <w:szCs w:val="24"/>
        </w:rPr>
        <w:t xml:space="preserve">Logistic regression is included as an interpretable benchmark. Its coefficients can be read as odds ratios and related directly to the likelihood of a household holding savings — a form the policy discussion in Chapter Five will lean on. Decision tree and random forest models suit survey data because they accommodate categorical variables and mixed data types with limited preprocessing and capture non-linear patterns that a linear model would miss. Random forest and gradient boosting also produce feature importance rankings, the main tool the fourth objective depends on. Including all four allows the trade-off between interpretability and predictive accuracy to be measured rather than assumed, and the choice of tree ensembles over neural approaches follows the benchmark evidence of Grinsztajn, Oyallon and Varoquaux (2022) on tabular data of this size.</w:t>
      </w:r>
    </w:p>
    <w:p>
      <w:pPr>
        <w:pStyle w:val="Heading1"/>
        <w:spacing w:after="160" w:before="320" w:line="360"/>
      </w:pPr>
      <w:r>
        <w:rPr>
          <w:rFonts w:ascii="Times New Roman" w:cs="Times New Roman" w:eastAsia="Times New Roman" w:hAnsi="Times New Roman"/>
          <w:b/>
          <w:bCs/>
          <w:color w:val="000000"/>
          <w:sz w:val="26"/>
          <w:szCs w:val="26"/>
        </w:rPr>
        <w:t xml:space="preserve">3.8  Model Training and Hyperparameter Tuning</w:t>
      </w:r>
    </w:p>
    <w:p>
      <w:pPr>
        <w:spacing w:after="160" w:line="360"/>
        <w:ind w:firstLine="0"/>
        <w:jc w:val="both"/>
      </w:pPr>
      <w:r>
        <w:rPr>
          <w:rFonts w:ascii="Times New Roman" w:cs="Times New Roman" w:eastAsia="Times New Roman" w:hAnsi="Times New Roman"/>
          <w:sz w:val="24"/>
          <w:szCs w:val="24"/>
        </w:rPr>
        <w:t xml:space="preserve">Each algorithm is wrapped in a pipeline containing its own preprocessing steps, so that preprocessing is refitted within every cross-validation fold. Hyperparameters are tuned by grid search for the smaller search spaces and randomised search for the larger ones, with five-fold stratified cross-validation on the training set and the F1 score of the minority class as the selection criterion. F1 is preferred to accuracy for selection because it responds to performance on both classes.</w:t>
      </w:r>
    </w:p>
    <w:p>
      <w:pPr>
        <w:spacing w:after="160" w:line="360"/>
        <w:ind w:firstLine="0"/>
        <w:jc w:val="both"/>
      </w:pPr>
      <w:r>
        <w:rPr>
          <w:rFonts w:ascii="Times New Roman" w:cs="Times New Roman" w:eastAsia="Times New Roman" w:hAnsi="Times New Roman"/>
          <w:sz w:val="24"/>
          <w:szCs w:val="24"/>
        </w:rPr>
        <w:t xml:space="preserve">The parameters considered for each model are the regularisation strength and penalty type for logistic regression; maximum depth, minimum samples per split and minimum samples per leaf for the decision tree; the number of trees, maximum depth and maximum features for random forest; and the number of estimators, learning rate, maximum depth and subsample ratio for gradient boosting. A fixed random seed is set for every step that involves randomness, including the split, the folds, the oversampling and the models themselves, so that the results can be reproduced exactly. The final ranges searched will be reported in Chapter Four.</w:t>
      </w:r>
    </w:p>
    <w:p>
      <w:pPr>
        <w:pStyle w:val="Heading1"/>
        <w:spacing w:after="160" w:before="320" w:line="360"/>
      </w:pPr>
      <w:r>
        <w:rPr>
          <w:rFonts w:ascii="Times New Roman" w:cs="Times New Roman" w:eastAsia="Times New Roman" w:hAnsi="Times New Roman"/>
          <w:b/>
          <w:bCs/>
          <w:color w:val="000000"/>
          <w:sz w:val="26"/>
          <w:szCs w:val="26"/>
        </w:rPr>
        <w:t xml:space="preserve">3.9  Evaluation Metrics</w:t>
      </w:r>
    </w:p>
    <w:p>
      <w:pPr>
        <w:spacing w:after="160" w:line="360"/>
        <w:ind w:firstLine="0"/>
        <w:jc w:val="both"/>
      </w:pPr>
      <w:r>
        <w:rPr>
          <w:rFonts w:ascii="Times New Roman" w:cs="Times New Roman" w:eastAsia="Times New Roman" w:hAnsi="Times New Roman"/>
          <w:sz w:val="24"/>
          <w:szCs w:val="24"/>
        </w:rPr>
        <w:t xml:space="preserve">Model performance is assessed on the held-out test set. Because the target may be imbalanced, several metrics are reported rather than accuracy alone. The confusion matrix is reported first for each model, since the other metrics are derived from it and it makes the pattern of errors visible.</w:t>
      </w:r>
    </w:p>
    <w:p>
      <w:pPr>
        <w:spacing w:after="160" w:line="360"/>
        <w:ind w:firstLine="0"/>
        <w:jc w:val="both"/>
      </w:pPr>
      <w:r>
        <w:rPr>
          <w:rFonts w:ascii="Times New Roman" w:cs="Times New Roman" w:eastAsia="Times New Roman" w:hAnsi="Times New Roman"/>
          <w:sz w:val="24"/>
          <w:szCs w:val="24"/>
        </w:rPr>
        <w:t xml:space="preserve">Accuracy is the proportion of households classified correctly. Precision is the proportion of households predicted to hold savings that actually do, and answers how much a positive prediction can be trusted. Recall is the proportion of true savers the model successfully identifies. The F1 score combines precision and recall using a harmonic rather than an arithmetic mean, so a model cannot cover for weak recall by being very precise, or the reverse — both have to be reasonably good for F1 to be high. That property is why it, rather than raw accuracy, is treated as the single figure most useful for comparing models on an imbalanced target. The area under the ROC curve measures how well a model separates the two classes across all possible decision thresholds and is independent of the threshold chosen. ROC curves for all four models are plotted on the same axes to make the comparison visual.</w:t>
      </w:r>
    </w:p>
    <w:p>
      <w:pPr>
        <w:spacing w:after="160" w:line="360"/>
        <w:ind w:firstLine="0"/>
        <w:jc w:val="both"/>
      </w:pPr>
      <w:r>
        <w:rPr>
          <w:rFonts w:ascii="Times New Roman" w:cs="Times New Roman" w:eastAsia="Times New Roman" w:hAnsi="Times New Roman"/>
          <w:sz w:val="24"/>
          <w:szCs w:val="24"/>
        </w:rPr>
        <w:t xml:space="preserve">Results for all four models are presented in a single comparison table so that differences in performance can be read at a glance.</w:t>
      </w:r>
    </w:p>
    <w:p>
      <w:pPr>
        <w:pStyle w:val="Heading1"/>
        <w:spacing w:after="160" w:before="320" w:line="360"/>
      </w:pPr>
      <w:r>
        <w:rPr>
          <w:rFonts w:ascii="Times New Roman" w:cs="Times New Roman" w:eastAsia="Times New Roman" w:hAnsi="Times New Roman"/>
          <w:b/>
          <w:bCs/>
          <w:color w:val="000000"/>
          <w:sz w:val="26"/>
          <w:szCs w:val="26"/>
        </w:rPr>
        <w:t xml:space="preserve">3.10  Feature Importance and Interpretation</w:t>
      </w:r>
    </w:p>
    <w:p>
      <w:pPr>
        <w:spacing w:after="160" w:line="360"/>
        <w:ind w:firstLine="0"/>
        <w:jc w:val="both"/>
      </w:pPr>
      <w:r>
        <w:rPr>
          <w:rFonts w:ascii="Times New Roman" w:cs="Times New Roman" w:eastAsia="Times New Roman" w:hAnsi="Times New Roman"/>
          <w:sz w:val="24"/>
          <w:szCs w:val="24"/>
        </w:rPr>
        <w:t xml:space="preserve">Meeting the fourth objective requires identifying which household characteristics matter most, and each model type offers its own route to this. Logistic regression coefficients are converted to odds ratios, which give both the direction and the size of each variable's effect. Random forest and gradient boosting report built-in importance scores based on how much each feature reduces impurity or contributes gain across the trees.</w:t>
      </w:r>
    </w:p>
    <w:p>
      <w:pPr>
        <w:spacing w:after="160" w:line="360"/>
        <w:ind w:firstLine="0"/>
        <w:jc w:val="both"/>
      </w:pPr>
      <w:r>
        <w:rPr>
          <w:rFonts w:ascii="Times New Roman" w:cs="Times New Roman" w:eastAsia="Times New Roman" w:hAnsi="Times New Roman"/>
          <w:sz w:val="24"/>
          <w:szCs w:val="24"/>
        </w:rPr>
        <w:t xml:space="preserve">Built-in tree importances can be biased towards variables with many distinct values, so permutation importance is calculated on the test set as a cross-check. Permutation importance measures how far performance drops when the values of a single feature are shuffled, which makes it comparable across model types. Where the built-in and permutation rankings disagree, both are reported and the discrepancy discussed. If time permits, SHAP values will be used to examine how individual features influence predictions for particular household profiles.</w:t>
      </w:r>
    </w:p>
    <w:p>
      <w:pPr>
        <w:spacing w:after="160" w:line="360"/>
        <w:ind w:firstLine="0"/>
        <w:jc w:val="both"/>
      </w:pPr>
      <w:r>
        <w:rPr>
          <w:rFonts w:ascii="Times New Roman" w:cs="Times New Roman" w:eastAsia="Times New Roman" w:hAnsi="Times New Roman"/>
          <w:sz w:val="24"/>
          <w:szCs w:val="24"/>
        </w:rPr>
        <w:t xml:space="preserve">The features that rank highest are then discussed against the determinants identified in Chapter Two, so that the model's behaviour can be checked for consistency with existing evidence rather than accepted at face value.</w:t>
      </w:r>
    </w:p>
    <w:p>
      <w:pPr>
        <w:pStyle w:val="Heading1"/>
        <w:spacing w:after="160" w:before="320" w:line="360"/>
      </w:pPr>
      <w:r>
        <w:rPr>
          <w:rFonts w:ascii="Times New Roman" w:cs="Times New Roman" w:eastAsia="Times New Roman" w:hAnsi="Times New Roman"/>
          <w:b/>
          <w:bCs/>
          <w:color w:val="000000"/>
          <w:sz w:val="26"/>
          <w:szCs w:val="26"/>
        </w:rPr>
        <w:t xml:space="preserve">3.11  Tools and Software</w:t>
      </w:r>
    </w:p>
    <w:p>
      <w:pPr>
        <w:spacing w:after="160" w:line="360"/>
        <w:ind w:firstLine="0"/>
        <w:jc w:val="both"/>
      </w:pPr>
      <w:r>
        <w:rPr>
          <w:rFonts w:ascii="Times New Roman" w:cs="Times New Roman" w:eastAsia="Times New Roman" w:hAnsi="Times New Roman"/>
          <w:sz w:val="24"/>
          <w:szCs w:val="24"/>
        </w:rPr>
        <w:t xml:space="preserve">The work is carried out in Python 3, using pandas and NumPy for data handling, scikit-learn for preprocessing, model building, tuning and evaluation, XGBoost for gradient boosting, and imbalanced-learn for the oversampling procedure. Matplotlib and Seaborn are used for the charts. Development takes place in Jupyter notebooks, which keep the code and its output together and make the analysis easier to follow and to review. Notebooks and scripts are kept under version control so that the group can work on separate parts without overwriting each other.</w:t>
      </w:r>
    </w:p>
    <w:p>
      <w:pPr>
        <w:pStyle w:val="Heading1"/>
        <w:spacing w:after="160" w:before="320" w:line="360"/>
      </w:pPr>
      <w:r>
        <w:rPr>
          <w:rFonts w:ascii="Times New Roman" w:cs="Times New Roman" w:eastAsia="Times New Roman" w:hAnsi="Times New Roman"/>
          <w:b/>
          <w:bCs/>
          <w:color w:val="000000"/>
          <w:sz w:val="26"/>
          <w:szCs w:val="26"/>
        </w:rPr>
        <w:t xml:space="preserve">3.12  Ethical Considerations</w:t>
      </w:r>
    </w:p>
    <w:p>
      <w:pPr>
        <w:spacing w:after="160" w:line="360"/>
        <w:ind w:firstLine="0"/>
        <w:jc w:val="both"/>
      </w:pPr>
      <w:r>
        <w:rPr>
          <w:rFonts w:ascii="Times New Roman" w:cs="Times New Roman" w:eastAsia="Times New Roman" w:hAnsi="Times New Roman"/>
          <w:sz w:val="24"/>
          <w:szCs w:val="24"/>
        </w:rPr>
        <w:t xml:space="preserve">The dataset contains no names, addresses or other direct identifiers, having been anonymised by the National Bureau of Statistics and the World Bank before release. Access is granted under a licence that restricts use to the purpose stated in the request, and the group's request states undergraduate coursework. The data will be used only for that purpose, will not be redistributed, and no attempt will be made to identify individual households or to link the records to any other source.</w:t>
      </w:r>
    </w:p>
    <w:p>
      <w:pPr>
        <w:spacing w:after="160" w:line="360"/>
        <w:ind w:firstLine="0"/>
        <w:jc w:val="both"/>
      </w:pPr>
      <w:r>
        <w:rPr>
          <w:rFonts w:ascii="Times New Roman" w:cs="Times New Roman" w:eastAsia="Times New Roman" w:hAnsi="Times New Roman"/>
          <w:sz w:val="24"/>
          <w:szCs w:val="24"/>
        </w:rPr>
        <w:t xml:space="preserve">All findings are reported at the aggregate level. Because the results may be read as describing which groups of households are less likely to save, the discussion in Chapter Five will be worded so that it points towards where support is needed rather than towards conclusions about the households concerned.</w:t>
      </w:r>
    </w:p>
    <w:p>
      <w:pPr>
        <w:pStyle w:val="Heading1"/>
        <w:spacing w:after="160" w:before="320" w:line="360"/>
      </w:pPr>
      <w:r>
        <w:rPr>
          <w:rFonts w:ascii="Times New Roman" w:cs="Times New Roman" w:eastAsia="Times New Roman" w:hAnsi="Times New Roman"/>
          <w:b/>
          <w:bCs/>
          <w:color w:val="000000"/>
          <w:sz w:val="26"/>
          <w:szCs w:val="26"/>
        </w:rPr>
        <w:t xml:space="preserve">3.13  Summary</w:t>
      </w:r>
    </w:p>
    <w:p>
      <w:pPr>
        <w:spacing w:after="160" w:line="360"/>
        <w:ind w:firstLine="0"/>
        <w:jc w:val="both"/>
      </w:pPr>
      <w:r>
        <w:rPr>
          <w:rFonts w:ascii="Times New Roman" w:cs="Times New Roman" w:eastAsia="Times New Roman" w:hAnsi="Times New Roman"/>
          <w:sz w:val="24"/>
          <w:szCs w:val="24"/>
        </w:rPr>
        <w:t xml:space="preserve">This chapter has described a quantitative study built on the Nigeria General Household Survey, Panel Wave 5, in which household savings status is predicted as a binary classification problem. It has set out how the data will be obtained and merged from its component modules, how the target and features will be defined and how leakage will be prevented, how missing values and class imbalance will be handled, which four algorithms will be trained and how they will be tuned, and which metrics will be used to compare them. It has also explained how feature importance will be derived and cross-checked so that the study can identify the characteristics most associated with saving. Chapter Four presents the results obtained by following these procedures, along with any adjustments the data required.</w:t>
      </w:r>
    </w:p>
    <w:p>
      <w:r>
        <w:br w:type="page"/>
      </w:r>
    </w:p>
    <w:p>
      <w:pPr>
        <w:spacing w:after="240" w:before="240" w:line="360"/>
        <w:jc w:val="center"/>
      </w:pPr>
      <w:r>
        <w:rPr>
          <w:rFonts w:ascii="Times New Roman" w:cs="Times New Roman" w:eastAsia="Times New Roman" w:hAnsi="Times New Roman"/>
          <w:b/>
          <w:bCs/>
          <w:sz w:val="28"/>
          <w:szCs w:val="28"/>
        </w:rPr>
        <w:t xml:space="preserve">REFERENCES</w:t>
      </w:r>
    </w:p>
    <w:p>
      <w:pPr>
        <w:spacing w:after="160" w:line="360"/>
        <w:ind w:left="720" w:hanging="720"/>
      </w:pPr>
      <w:r>
        <w:rPr>
          <w:rFonts w:ascii="Times New Roman" w:cs="Times New Roman" w:eastAsia="Times New Roman" w:hAnsi="Times New Roman"/>
          <w:sz w:val="24"/>
          <w:szCs w:val="24"/>
        </w:rPr>
        <w:t xml:space="preserve">Abubakar, B. B., &amp; Illo, A. I. (2026). Rural household savings and financial inclusion as determinants of sustainable rural economic growth in Nigeria. Academia Journal of Humanities &amp; Social Sciences, 3(1), 80-89. https://doi.org/10.3126/ajhss.v3i1.92783</w:t>
      </w:r>
    </w:p>
    <w:p>
      <w:pPr>
        <w:spacing w:after="160" w:line="360"/>
        <w:ind w:left="720" w:hanging="720"/>
      </w:pPr>
      <w:r>
        <w:rPr>
          <w:rFonts w:ascii="Times New Roman" w:cs="Times New Roman" w:eastAsia="Times New Roman" w:hAnsi="Times New Roman"/>
          <w:sz w:val="24"/>
          <w:szCs w:val="24"/>
        </w:rPr>
        <w:t xml:space="preserve">Demirguc-Kunt, A., Klapper, L., Singer, D., &amp; Ansar, S. (2022). The Global Findex Database 2021: Financial inclusion, digital payments, and resilience in the age of COVID-19. Washington, DC: World Bank. https://doi.org/10.1596/978-1-4648-1897-4</w:t>
      </w:r>
    </w:p>
    <w:p>
      <w:pPr>
        <w:spacing w:after="160" w:line="360"/>
        <w:ind w:left="720" w:hanging="720"/>
      </w:pPr>
      <w:r>
        <w:rPr>
          <w:rFonts w:ascii="Times New Roman" w:cs="Times New Roman" w:eastAsia="Times New Roman" w:hAnsi="Times New Roman"/>
          <w:sz w:val="24"/>
          <w:szCs w:val="24"/>
        </w:rPr>
        <w:t xml:space="preserve">Friedman, M. (1957). A theory of the consumption function. Princeton, NJ: Princeton University Press.</w:t>
      </w:r>
    </w:p>
    <w:p>
      <w:pPr>
        <w:spacing w:after="160" w:line="360"/>
        <w:ind w:left="720" w:hanging="720"/>
      </w:pPr>
      <w:r>
        <w:rPr>
          <w:rFonts w:ascii="Times New Roman" w:cs="Times New Roman" w:eastAsia="Times New Roman" w:hAnsi="Times New Roman"/>
          <w:sz w:val="24"/>
          <w:szCs w:val="24"/>
        </w:rPr>
        <w:t xml:space="preserve">Grinsztajn, L., Oyallon, E., &amp; Varoquaux, G. (2022). Why do tree-based models still outperform deep learning on typical tabular data? Advances in Neural Information Processing Systems, 35, 507-520. https://proceedings.neurips.cc/paper_files/paper/2022/hash/0378c7692da36807bdec87ab043cdadc-Abstract-Datasets_and_Benchmarks.html</w:t>
      </w:r>
    </w:p>
    <w:p>
      <w:pPr>
        <w:spacing w:after="160" w:line="360"/>
        <w:ind w:left="720" w:hanging="720"/>
      </w:pPr>
      <w:r>
        <w:rPr>
          <w:rFonts w:ascii="Times New Roman" w:cs="Times New Roman" w:eastAsia="Times New Roman" w:hAnsi="Times New Roman"/>
          <w:sz w:val="24"/>
          <w:szCs w:val="24"/>
        </w:rPr>
        <w:t xml:space="preserve">Hassan, A. A., Muse, A. H., &amp; Chesneau, C. (2024). Machine learning study using 2020 SDHS data to determine poverty determinants in Somalia. Scientific Reports, 14, 5956. https://doi.org/10.1038/s41598-024-56466-8</w:t>
      </w:r>
    </w:p>
    <w:p>
      <w:pPr>
        <w:spacing w:after="160" w:line="360"/>
        <w:ind w:left="720" w:hanging="720"/>
      </w:pPr>
      <w:r>
        <w:rPr>
          <w:rFonts w:ascii="Times New Roman" w:cs="Times New Roman" w:eastAsia="Times New Roman" w:hAnsi="Times New Roman"/>
          <w:sz w:val="24"/>
          <w:szCs w:val="24"/>
        </w:rPr>
        <w:t xml:space="preserve">Kapoor, S., &amp; Narayanan, A. (2023). Leakage and the reproducibility crisis in machine-learning-based science. Patterns, 4(9), 100804. https://doi.org/10.1016/j.patter.2023.100804</w:t>
      </w:r>
    </w:p>
    <w:p>
      <w:pPr>
        <w:spacing w:after="160" w:line="360"/>
        <w:ind w:left="720" w:hanging="720"/>
      </w:pPr>
      <w:r>
        <w:rPr>
          <w:rFonts w:ascii="Times New Roman" w:cs="Times New Roman" w:eastAsia="Times New Roman" w:hAnsi="Times New Roman"/>
          <w:sz w:val="24"/>
          <w:szCs w:val="24"/>
        </w:rPr>
        <w:t xml:space="preserve">Mukaila, R., Falola, A., &amp; Egwue, L. O. (2021). The determinants of rural households' income in Nigeria. Fiscaoeconomia, 5(3), 978-989. https://doi.org/10.25295/fsecon.974485</w:t>
      </w:r>
    </w:p>
    <w:p>
      <w:pPr>
        <w:spacing w:after="160" w:line="360"/>
        <w:ind w:left="720" w:hanging="720"/>
      </w:pPr>
      <w:r>
        <w:rPr>
          <w:rFonts w:ascii="Times New Roman" w:cs="Times New Roman" w:eastAsia="Times New Roman" w:hAnsi="Times New Roman"/>
          <w:sz w:val="24"/>
          <w:szCs w:val="24"/>
        </w:rPr>
        <w:t xml:space="preserve">Muremyi, R., Haughton, D., Kabano, I., &amp; Niragire, F. (2020). Prediction of out-of-pocket health expenditures in Rwanda using machine learning techniques. Pan African Medical Journal, 37, 357. https://doi.org/10.11604/pamj.2020.37.357.27287</w:t>
      </w:r>
    </w:p>
    <w:p>
      <w:pPr>
        <w:spacing w:after="160" w:line="360"/>
        <w:ind w:left="720" w:hanging="720"/>
      </w:pPr>
      <w:r>
        <w:rPr>
          <w:rFonts w:ascii="Times New Roman" w:cs="Times New Roman" w:eastAsia="Times New Roman" w:hAnsi="Times New Roman"/>
          <w:sz w:val="24"/>
          <w:szCs w:val="24"/>
        </w:rPr>
        <w:t xml:space="preserve">National Bureau of Statistics, &amp; World Bank. (2024). Nigeria General Household Survey-Panel 2023/24, Wave 5. Abuja: National Bureau of Statistics; Washington, DC: World Bank Living Standards Measurement Study. https://microdata.worldbank.org/index.php/catalog/6410</w:t>
      </w:r>
    </w:p>
    <w:p>
      <w:pPr>
        <w:spacing w:after="160" w:line="360"/>
        <w:ind w:left="720" w:hanging="720"/>
      </w:pPr>
      <w:r>
        <w:rPr>
          <w:rFonts w:ascii="Times New Roman" w:cs="Times New Roman" w:eastAsia="Times New Roman" w:hAnsi="Times New Roman"/>
          <w:sz w:val="24"/>
          <w:szCs w:val="24"/>
        </w:rPr>
        <w:t xml:space="preserve">Nkurunziza, F., Kabanda, R., &amp; McSharry, P. (2024). Enhancing poverty classification in developing countries through machine learning: A case study of household consumption prediction in Rwanda. Cogent Economics &amp; Finance, 13(1), 2444374. https://doi.org/10.1080/23322039.2024.2444374</w:t>
      </w:r>
    </w:p>
    <w:p>
      <w:pPr>
        <w:spacing w:after="160" w:line="360"/>
        <w:ind w:left="720" w:hanging="720"/>
      </w:pPr>
      <w:r>
        <w:rPr>
          <w:rFonts w:ascii="Times New Roman" w:cs="Times New Roman" w:eastAsia="Times New Roman" w:hAnsi="Times New Roman"/>
          <w:sz w:val="24"/>
          <w:szCs w:val="24"/>
        </w:rPr>
        <w:t xml:space="preserve">Sablik, T. (2016). Life cycle hypothesis. Econ Focus, Q3-Q4 2016, 4. Federal Reserve Bank of Richmond. https://www.richmondfed.org/publications/research/econ_focus/2016/q3-4/jargon_alert</w:t>
      </w:r>
    </w:p>
    <w:p>
      <w:pPr>
        <w:spacing w:after="160" w:line="360"/>
        <w:ind w:left="720" w:hanging="720"/>
      </w:pPr>
      <w:r>
        <w:rPr>
          <w:rFonts w:ascii="Times New Roman" w:cs="Times New Roman" w:eastAsia="Times New Roman" w:hAnsi="Times New Roman"/>
          <w:sz w:val="24"/>
          <w:szCs w:val="24"/>
        </w:rPr>
        <w:t xml:space="preserve">Salvador, E. L. V. (2024). Use of boosting algorithms in household-level poverty measurement: A machine learning approach to predict and classify household wealth quintiles in the Philippines (arXiv:2407.13061) [Preprint]. arXiv. https://arxiv.org/abs/2407.13061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2026-08-26T09:04:29.124Z</dcterms:created>
  <dcterms:modified xsi:type="dcterms:W3CDTF">2026-08-26T09:04:29.125Z</dcterms:modified>
</cp:coreProperties>
</file>

<file path=docProps/custom.xml><?xml version="1.0" encoding="utf-8"?>
<Properties xmlns="http://schemas.openxmlformats.org/officeDocument/2006/custom-properties" xmlns:vt="http://schemas.openxmlformats.org/officeDocument/2006/docPropsVTypes"/>
</file>