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9870D" w14:textId="0A72ABE2" w:rsidR="00F33FCD" w:rsidRDefault="00C5592E">
      <w:pPr>
        <w:pStyle w:val="Title"/>
      </w:pPr>
      <w:r>
        <w:t>Homework Problem Set 10</w:t>
      </w:r>
      <w:r w:rsidR="00C01A7E">
        <w:t>:</w:t>
      </w:r>
      <w:r>
        <w:t xml:space="preserve"> Data Normalization</w:t>
      </w:r>
    </w:p>
    <w:p w14:paraId="00AEC090" w14:textId="77777777" w:rsidR="00F33FCD" w:rsidRDefault="00C5592E">
      <w:pPr>
        <w:pStyle w:val="Heading1"/>
      </w:pPr>
      <w:r>
        <w:t>Overview</w:t>
      </w:r>
    </w:p>
    <w:p w14:paraId="4B1E08B0" w14:textId="33733753" w:rsidR="00F33FCD" w:rsidRDefault="00C5592E">
      <w:r>
        <w:t>In this lab</w:t>
      </w:r>
      <w:r w:rsidR="00C01A7E">
        <w:t>,</w:t>
      </w:r>
      <w:r>
        <w:t xml:space="preserve"> we will explore how to normalize data and then migrate data to new tables in the process. </w:t>
      </w:r>
    </w:p>
    <w:p w14:paraId="5A402081" w14:textId="77777777" w:rsidR="00F33FCD" w:rsidRDefault="00C5592E">
      <w:pPr>
        <w:pStyle w:val="Heading2"/>
      </w:pPr>
      <w:r>
        <w:t>Learning Objectives</w:t>
      </w:r>
    </w:p>
    <w:p w14:paraId="692BCEA0" w14:textId="77777777" w:rsidR="00F33FCD" w:rsidRDefault="00C5592E">
      <w:r>
        <w:t>Upon completion of the lab, you should be able to:</w:t>
      </w:r>
    </w:p>
    <w:p w14:paraId="50A2C131" w14:textId="661E28F7" w:rsidR="00F33FCD" w:rsidRDefault="00C55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Identify data dependencies and normal forms</w:t>
      </w:r>
      <w:r w:rsidR="00C01A7E">
        <w:rPr>
          <w:color w:val="000000"/>
        </w:rPr>
        <w:t>.</w:t>
      </w:r>
    </w:p>
    <w:p w14:paraId="0EDA5251" w14:textId="3F4A9D38" w:rsidR="00F33FCD" w:rsidRDefault="00C55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Resolve data dependencies </w:t>
      </w:r>
      <w:r w:rsidR="00C01A7E">
        <w:rPr>
          <w:color w:val="000000"/>
        </w:rPr>
        <w:t xml:space="preserve">by </w:t>
      </w:r>
      <w:r>
        <w:rPr>
          <w:color w:val="000000"/>
        </w:rPr>
        <w:t>placing data in a higher normal form</w:t>
      </w:r>
      <w:r w:rsidR="00C01A7E">
        <w:rPr>
          <w:color w:val="000000"/>
        </w:rPr>
        <w:t>.</w:t>
      </w:r>
    </w:p>
    <w:p w14:paraId="689494E9" w14:textId="312B8B32" w:rsidR="00F33FCD" w:rsidRDefault="00C5592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Move data into new normalized tables</w:t>
      </w:r>
      <w:r w:rsidR="00C01A7E">
        <w:rPr>
          <w:color w:val="000000"/>
        </w:rPr>
        <w:t>.</w:t>
      </w:r>
    </w:p>
    <w:p w14:paraId="2721A449" w14:textId="550040CA" w:rsidR="00F33FCD" w:rsidRDefault="00C5592E">
      <w:pPr>
        <w:pStyle w:val="Heading2"/>
      </w:pPr>
      <w:r>
        <w:t xml:space="preserve">What </w:t>
      </w:r>
      <w:r w:rsidR="00C01A7E">
        <w:t>You Will Need</w:t>
      </w:r>
    </w:p>
    <w:p w14:paraId="50A83EBD" w14:textId="0D6A82A1" w:rsidR="00F33FCD" w:rsidRDefault="00C5592E">
      <w:r>
        <w:t xml:space="preserve">To complete this lab, you will need the </w:t>
      </w:r>
      <w:r w:rsidR="00C01A7E">
        <w:t>learn-d</w:t>
      </w:r>
      <w:r>
        <w:t xml:space="preserve">atabases </w:t>
      </w:r>
      <w:r w:rsidR="00C01A7E">
        <w:t xml:space="preserve">environment </w:t>
      </w:r>
      <w:r>
        <w:t>up and running, specifically:</w:t>
      </w:r>
    </w:p>
    <w:p w14:paraId="617BB7AB" w14:textId="4A221BC0" w:rsidR="00F33FCD" w:rsidRDefault="00C55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>Microsoft SQL Server DBMS</w:t>
      </w:r>
      <w:r w:rsidR="00C01A7E">
        <w:rPr>
          <w:color w:val="000000"/>
        </w:rPr>
        <w:t>.</w:t>
      </w:r>
    </w:p>
    <w:p w14:paraId="6242013F" w14:textId="3F865D75" w:rsidR="00F33FCD" w:rsidRDefault="00C55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Provision the </w:t>
      </w:r>
      <w:r>
        <w:rPr>
          <w:b/>
          <w:color w:val="000000"/>
        </w:rPr>
        <w:t xml:space="preserve">demo </w:t>
      </w:r>
      <w:r w:rsidRPr="00C5592E">
        <w:rPr>
          <w:bCs/>
          <w:color w:val="000000"/>
        </w:rPr>
        <w:t>and</w:t>
      </w:r>
      <w:r>
        <w:rPr>
          <w:b/>
          <w:color w:val="000000"/>
        </w:rPr>
        <w:t xml:space="preserve"> cheepwebhosting </w:t>
      </w:r>
      <w:r>
        <w:rPr>
          <w:color w:val="000000"/>
        </w:rPr>
        <w:t xml:space="preserve">databases using the </w:t>
      </w:r>
      <w:r w:rsidR="00C01A7E">
        <w:rPr>
          <w:color w:val="000000"/>
        </w:rPr>
        <w:t>database p</w:t>
      </w:r>
      <w:r>
        <w:rPr>
          <w:color w:val="000000"/>
        </w:rPr>
        <w:t xml:space="preserve">rovisioner application </w:t>
      </w:r>
      <w:hyperlink r:id="rId6">
        <w:r>
          <w:rPr>
            <w:color w:val="0563C1"/>
            <w:u w:val="single"/>
          </w:rPr>
          <w:t>https://localhost:5000</w:t>
        </w:r>
      </w:hyperlink>
      <w:r w:rsidR="00C01A7E" w:rsidRPr="00337AB9">
        <w:rPr>
          <w:bCs/>
          <w:color w:val="000000"/>
        </w:rPr>
        <w:t>.</w:t>
      </w:r>
      <w:r>
        <w:rPr>
          <w:color w:val="000000"/>
        </w:rPr>
        <w:t xml:space="preserve"> </w:t>
      </w:r>
    </w:p>
    <w:p w14:paraId="1936BDD5" w14:textId="20BC31F0" w:rsidR="00F33FCD" w:rsidRDefault="00C55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color w:val="000000"/>
        </w:rPr>
        <w:t xml:space="preserve">Azure Data Studio connected to SQL </w:t>
      </w:r>
      <w:r w:rsidR="00C01A7E">
        <w:rPr>
          <w:color w:val="000000"/>
        </w:rPr>
        <w:t xml:space="preserve">Server </w:t>
      </w:r>
      <w:r>
        <w:rPr>
          <w:color w:val="000000"/>
        </w:rPr>
        <w:t xml:space="preserve">with an open query window. </w:t>
      </w:r>
    </w:p>
    <w:p w14:paraId="641D5617" w14:textId="77777777" w:rsidR="00F33FCD" w:rsidRDefault="00C55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60"/>
      </w:pPr>
      <w:r>
        <w:rPr>
          <w:b/>
          <w:color w:val="000000"/>
        </w:rPr>
        <w:t>Fudgenbooks.sql</w:t>
      </w:r>
      <w:r>
        <w:rPr>
          <w:color w:val="000000"/>
        </w:rPr>
        <w:t xml:space="preserve"> file from where you got this lab. </w:t>
      </w:r>
    </w:p>
    <w:p w14:paraId="547C95A8" w14:textId="77777777" w:rsidR="00F33FCD" w:rsidRDefault="00C5592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ind w:hanging="360"/>
      </w:pPr>
      <w:r>
        <w:rPr>
          <w:color w:val="000000"/>
        </w:rPr>
        <w:t xml:space="preserve">Please review the first lab if you require assistance with these tools. </w:t>
      </w:r>
    </w:p>
    <w:p w14:paraId="4A863E0C" w14:textId="77777777" w:rsidR="00F33FCD" w:rsidRDefault="00C5592E">
      <w:pPr>
        <w:pStyle w:val="Heading1"/>
      </w:pPr>
      <w:r>
        <w:t>Walkthrough</w:t>
      </w:r>
    </w:p>
    <w:p w14:paraId="1B074168" w14:textId="77777777" w:rsidR="00F33FCD" w:rsidRDefault="00C5592E">
      <w:r>
        <w:t xml:space="preserve">In this walkthrough, we will normalize the Fudgenbooks database. Execute the </w:t>
      </w:r>
      <w:r>
        <w:rPr>
          <w:b/>
        </w:rPr>
        <w:t xml:space="preserve">fudgenbooks.sql </w:t>
      </w:r>
      <w:r>
        <w:t xml:space="preserve">script to create the table </w:t>
      </w:r>
      <w:r>
        <w:rPr>
          <w:b/>
        </w:rPr>
        <w:t>fudgenbooks</w:t>
      </w:r>
      <w:r>
        <w:t xml:space="preserve"> in the </w:t>
      </w:r>
      <w:r>
        <w:rPr>
          <w:b/>
        </w:rPr>
        <w:t xml:space="preserve">demo </w:t>
      </w:r>
      <w:r>
        <w:t xml:space="preserve">database. The </w:t>
      </w:r>
      <w:r>
        <w:rPr>
          <w:b/>
        </w:rPr>
        <w:t>isbn</w:t>
      </w:r>
      <w:r>
        <w:t xml:space="preserve"> column is the primary key of this table. </w:t>
      </w:r>
    </w:p>
    <w:p w14:paraId="0064ED9B" w14:textId="77777777" w:rsidR="00F33FCD" w:rsidRDefault="00C5592E">
      <w:r>
        <w:rPr>
          <w:noProof/>
        </w:rPr>
        <w:drawing>
          <wp:inline distT="0" distB="0" distL="0" distR="0" wp14:anchorId="08659D03" wp14:editId="3D452A52">
            <wp:extent cx="5943600" cy="656590"/>
            <wp:effectExtent l="0" t="0" r="0" b="0"/>
            <wp:docPr id="11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BF6FA" w14:textId="77777777" w:rsidR="00F33FCD" w:rsidRDefault="00C5592E">
      <w:r>
        <w:t>To review, for the data normalization process, we must perform these steps:</w:t>
      </w:r>
    </w:p>
    <w:p w14:paraId="6F3E99FA" w14:textId="77777777" w:rsidR="00F33FCD" w:rsidRDefault="00C55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any columns not dependent on the key (if they exist), then</w:t>
      </w:r>
    </w:p>
    <w:p w14:paraId="4FA60D25" w14:textId="77777777" w:rsidR="00F33FCD" w:rsidRDefault="00C55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any partial key dependencies (if they exist), then</w:t>
      </w:r>
    </w:p>
    <w:p w14:paraId="30533210" w14:textId="77777777" w:rsidR="00F33FCD" w:rsidRDefault="00C55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Resolve any transitive dependencies (if they exist), and finally</w:t>
      </w:r>
    </w:p>
    <w:p w14:paraId="02B45FB1" w14:textId="77777777" w:rsidR="00F33FCD" w:rsidRDefault="00C5592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 the foreign key constraints.</w:t>
      </w:r>
    </w:p>
    <w:p w14:paraId="737FC889" w14:textId="777A663C" w:rsidR="00F33FCD" w:rsidRDefault="00C5592E" w:rsidP="00C01A7E">
      <w:r>
        <w:t>In general, each of the three resolution processes are similar. It involves</w:t>
      </w:r>
      <w:r w:rsidR="00C01A7E">
        <w:t xml:space="preserve"> s</w:t>
      </w:r>
      <w:r>
        <w:t>plitting the data in the original table by placing the columns with dependencies into a new table. How the new tables are created will depend on the type of dependency. We figure this out by first writing the SELECT statement to get the desired data.</w:t>
      </w:r>
    </w:p>
    <w:p w14:paraId="083D2FE7" w14:textId="77777777" w:rsidR="00F33FCD" w:rsidRDefault="00C5592E">
      <w:r>
        <w:t>Next, we write a migration script to create the table and insert the data:</w:t>
      </w:r>
    </w:p>
    <w:p w14:paraId="2E635569" w14:textId="3AB7767C" w:rsidR="00F33FCD" w:rsidRDefault="00C55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Write a DROP TABLE before the SELECT as part of the up/down process</w:t>
      </w:r>
      <w:r w:rsidR="00C01A7E">
        <w:rPr>
          <w:color w:val="000000"/>
        </w:rPr>
        <w:t>.</w:t>
      </w:r>
      <w:r>
        <w:rPr>
          <w:color w:val="000000"/>
        </w:rPr>
        <w:t xml:space="preserve"> </w:t>
      </w:r>
    </w:p>
    <w:p w14:paraId="33D0623B" w14:textId="77777777" w:rsidR="00F33FCD" w:rsidRDefault="00C55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Use the SELECT statement you wrote but add the INTO clause to create a new table and insert the query output.</w:t>
      </w:r>
    </w:p>
    <w:p w14:paraId="5C55370A" w14:textId="2DB101F6" w:rsidR="00F33FCD" w:rsidRDefault="00C55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ALTER the table after the SELECT to add the primary key (we want entity integrity)</w:t>
      </w:r>
      <w:r w:rsidR="00C01A7E">
        <w:rPr>
          <w:color w:val="000000"/>
        </w:rPr>
        <w:t>.</w:t>
      </w:r>
    </w:p>
    <w:p w14:paraId="4C2D7105" w14:textId="7AA4FF13" w:rsidR="00F33FCD" w:rsidRDefault="00C5592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Run a SELECT on the new table to verify the data </w:t>
      </w:r>
      <w:r w:rsidR="00C01A7E">
        <w:rPr>
          <w:color w:val="000000"/>
        </w:rPr>
        <w:t xml:space="preserve">are </w:t>
      </w:r>
      <w:r>
        <w:rPr>
          <w:color w:val="000000"/>
        </w:rPr>
        <w:t>correct.</w:t>
      </w:r>
    </w:p>
    <w:p w14:paraId="0655A65C" w14:textId="26DA6B66" w:rsidR="00F33FCD" w:rsidRDefault="00C5592E">
      <w:pPr>
        <w:pStyle w:val="Heading2"/>
      </w:pPr>
      <w:r>
        <w:t xml:space="preserve">Step 1: Resolve Columns </w:t>
      </w:r>
      <w:r w:rsidR="00C01A7E">
        <w:t xml:space="preserve">With </w:t>
      </w:r>
      <w:r>
        <w:t xml:space="preserve">No Dependency on the Key </w:t>
      </w:r>
    </w:p>
    <w:p w14:paraId="1EDBCD39" w14:textId="782DE2E8" w:rsidR="00F33FCD" w:rsidRDefault="00C5592E">
      <w:r>
        <w:t>In the fudgenbooks example</w:t>
      </w:r>
      <w:r w:rsidR="00C01A7E">
        <w:t>,</w:t>
      </w:r>
      <w:r>
        <w:t xml:space="preserve"> you cannot get a single atomic value for </w:t>
      </w:r>
      <w:r>
        <w:rPr>
          <w:b/>
        </w:rPr>
        <w:t>author</w:t>
      </w:r>
      <w:r>
        <w:t xml:space="preserve"> for the given key </w:t>
      </w:r>
      <w:r>
        <w:rPr>
          <w:b/>
        </w:rPr>
        <w:t>isbn.</w:t>
      </w:r>
      <w:r>
        <w:t xml:space="preserve"> Likewise, you cannot get a single </w:t>
      </w:r>
      <w:r>
        <w:rPr>
          <w:b/>
        </w:rPr>
        <w:t>subject</w:t>
      </w:r>
      <w:r w:rsidR="00C01A7E">
        <w:t xml:space="preserve">, </w:t>
      </w:r>
      <w:r>
        <w:t>either. This is because these columns contain multivalued attributes</w:t>
      </w:r>
      <w:r w:rsidR="00C01A7E">
        <w:t>,</w:t>
      </w:r>
      <w:r>
        <w:t xml:space="preserve"> which are not desirable in a relational table </w:t>
      </w:r>
      <w:r w:rsidR="00C01A7E">
        <w:t xml:space="preserve">because </w:t>
      </w:r>
      <w:r>
        <w:t>it is not trivial to query the data.</w:t>
      </w:r>
    </w:p>
    <w:p w14:paraId="715CC737" w14:textId="6D0A65DD" w:rsidR="00F33FCD" w:rsidRDefault="00C01A7E">
      <w:r>
        <w:t xml:space="preserve">Because </w:t>
      </w:r>
      <w:r w:rsidR="00C5592E">
        <w:t xml:space="preserve">both </w:t>
      </w:r>
      <w:r w:rsidR="00C5592E">
        <w:rPr>
          <w:b/>
        </w:rPr>
        <w:t>subjects</w:t>
      </w:r>
      <w:r w:rsidR="00C5592E">
        <w:t xml:space="preserve"> and </w:t>
      </w:r>
      <w:r w:rsidR="00C5592E">
        <w:rPr>
          <w:b/>
        </w:rPr>
        <w:t>authors</w:t>
      </w:r>
      <w:r w:rsidR="00C5592E">
        <w:t xml:space="preserve"> are hidden many-to-many relationships, we must resolve each to a bridge table and lookup table. When we are finished, we should have</w:t>
      </w:r>
      <w:r>
        <w:t xml:space="preserve"> five</w:t>
      </w:r>
      <w:r w:rsidR="00C5592E">
        <w:t xml:space="preserve"> tables:</w:t>
      </w:r>
    </w:p>
    <w:p w14:paraId="0F537C13" w14:textId="42F2B470" w:rsidR="00F33FCD" w:rsidRDefault="00C55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The 1NF version of fudgenbooks with the no key dependencies removed</w:t>
      </w:r>
    </w:p>
    <w:p w14:paraId="10CB9862" w14:textId="77777777" w:rsidR="00F33FCD" w:rsidRDefault="00C55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lookup table of unique authors</w:t>
      </w:r>
    </w:p>
    <w:p w14:paraId="6DA192E8" w14:textId="74010EEA" w:rsidR="00F33FCD" w:rsidRDefault="00C55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A bridge table connecting each </w:t>
      </w:r>
      <w:r>
        <w:rPr>
          <w:b/>
          <w:color w:val="000000"/>
        </w:rPr>
        <w:t>isbn</w:t>
      </w:r>
      <w:r>
        <w:rPr>
          <w:color w:val="000000"/>
        </w:rPr>
        <w:t xml:space="preserve"> to its many </w:t>
      </w:r>
      <w:r>
        <w:rPr>
          <w:b/>
          <w:color w:val="000000"/>
        </w:rPr>
        <w:t>author</w:t>
      </w:r>
      <w:r>
        <w:rPr>
          <w:color w:val="000000"/>
        </w:rPr>
        <w:t>(s)</w:t>
      </w:r>
    </w:p>
    <w:p w14:paraId="6A8DCE08" w14:textId="77777777" w:rsidR="00F33FCD" w:rsidRDefault="00C55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A lookup table of unique subjects</w:t>
      </w:r>
    </w:p>
    <w:p w14:paraId="5D25FD91" w14:textId="67A62C3A" w:rsidR="00F33FCD" w:rsidRDefault="00C5592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 bridge table connecting each </w:t>
      </w:r>
      <w:r>
        <w:rPr>
          <w:b/>
          <w:color w:val="000000"/>
        </w:rPr>
        <w:t>isbn</w:t>
      </w:r>
      <w:r>
        <w:rPr>
          <w:color w:val="000000"/>
        </w:rPr>
        <w:t xml:space="preserve"> to its many </w:t>
      </w:r>
      <w:r>
        <w:rPr>
          <w:b/>
          <w:color w:val="000000"/>
        </w:rPr>
        <w:t>subject</w:t>
      </w:r>
      <w:r>
        <w:rPr>
          <w:color w:val="000000"/>
        </w:rPr>
        <w:t>(s)</w:t>
      </w:r>
    </w:p>
    <w:p w14:paraId="157D9CC3" w14:textId="77777777" w:rsidR="00F33FCD" w:rsidRDefault="00C5592E">
      <w:pPr>
        <w:pStyle w:val="Heading3"/>
      </w:pPr>
      <w:r>
        <w:t xml:space="preserve">Step 1.1: fudgenbooks_1nf </w:t>
      </w:r>
    </w:p>
    <w:p w14:paraId="0EF3ACB3" w14:textId="77777777" w:rsidR="00F33FCD" w:rsidRDefault="00C5592E">
      <w:r>
        <w:t>The 1NF version of fudgenbooks is simple:</w:t>
      </w:r>
    </w:p>
    <w:p w14:paraId="353509EC" w14:textId="77777777" w:rsidR="00F33FCD" w:rsidRDefault="00C5592E">
      <w:r>
        <w:rPr>
          <w:noProof/>
        </w:rPr>
        <w:drawing>
          <wp:inline distT="0" distB="0" distL="0" distR="0" wp14:anchorId="21756867" wp14:editId="3032FE60">
            <wp:extent cx="5943600" cy="2063750"/>
            <wp:effectExtent l="0" t="0" r="0" b="0"/>
            <wp:docPr id="111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2F55833D" wp14:editId="7E98973E">
            <wp:simplePos x="0" y="0"/>
            <wp:positionH relativeFrom="column">
              <wp:posOffset>2309371</wp:posOffset>
            </wp:positionH>
            <wp:positionV relativeFrom="paragraph">
              <wp:posOffset>173355</wp:posOffset>
            </wp:positionV>
            <wp:extent cx="71252" cy="106878"/>
            <wp:effectExtent l="0" t="0" r="0" b="0"/>
            <wp:wrapNone/>
            <wp:docPr id="122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52" cy="106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ECA73BB" w14:textId="6D37C9A7" w:rsidR="00F33FCD" w:rsidRDefault="00C5592E">
      <w:r>
        <w:t xml:space="preserve">Then we write our migration script using the </w:t>
      </w:r>
      <w:r w:rsidR="00C01A7E">
        <w:t>four-</w:t>
      </w:r>
      <w:r>
        <w:t xml:space="preserve">step resolution process from above (drop, make table, add </w:t>
      </w:r>
      <w:r w:rsidR="00C01A7E">
        <w:t xml:space="preserve">PK </w:t>
      </w:r>
      <w:r>
        <w:t>constraint, select to verify)</w:t>
      </w:r>
      <w:r w:rsidR="00C01A7E">
        <w:t>.</w:t>
      </w:r>
    </w:p>
    <w:p w14:paraId="47C6B456" w14:textId="77777777" w:rsidR="00F33FCD" w:rsidRDefault="00C5592E">
      <w:r>
        <w:rPr>
          <w:noProof/>
        </w:rPr>
        <w:lastRenderedPageBreak/>
        <w:drawing>
          <wp:inline distT="0" distB="0" distL="0" distR="0" wp14:anchorId="3EEF2ECB" wp14:editId="78E2F297">
            <wp:extent cx="5943600" cy="3048000"/>
            <wp:effectExtent l="0" t="0" r="0" b="0"/>
            <wp:docPr id="11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11432" w14:textId="7FCA2D28" w:rsidR="00F33FCD" w:rsidRDefault="00C5592E">
      <w:r>
        <w:t xml:space="preserve">The </w:t>
      </w:r>
      <w:r>
        <w:rPr>
          <w:b/>
        </w:rPr>
        <w:t>INTO</w:t>
      </w:r>
      <w:r>
        <w:t xml:space="preserve"> clause on line 31 will create a new table from the query output</w:t>
      </w:r>
      <w:r w:rsidR="00C01A7E">
        <w:t xml:space="preserve">. This </w:t>
      </w:r>
      <w:r>
        <w:t>is the key to migrating the normalized data.</w:t>
      </w:r>
    </w:p>
    <w:p w14:paraId="1D708A8C" w14:textId="6FE76B63" w:rsidR="00F33FCD" w:rsidRDefault="00C5592E">
      <w:pPr>
        <w:pStyle w:val="Heading3"/>
      </w:pPr>
      <w:r>
        <w:t xml:space="preserve">Step 1.2: fb_authors Lookup </w:t>
      </w:r>
      <w:r w:rsidR="00C01A7E">
        <w:t>Table</w:t>
      </w:r>
    </w:p>
    <w:p w14:paraId="017FE22C" w14:textId="39250527" w:rsidR="00F33FCD" w:rsidRDefault="00C5592E">
      <w:r>
        <w:t xml:space="preserve">To create the lookup table, we must combine the unique values from columns </w:t>
      </w:r>
      <w:r>
        <w:rPr>
          <w:b/>
        </w:rPr>
        <w:t>author1</w:t>
      </w:r>
      <w:r>
        <w:t xml:space="preserve">, </w:t>
      </w:r>
      <w:r>
        <w:rPr>
          <w:b/>
        </w:rPr>
        <w:t>author2</w:t>
      </w:r>
      <w:r>
        <w:t xml:space="preserve">, and </w:t>
      </w:r>
      <w:r>
        <w:rPr>
          <w:b/>
        </w:rPr>
        <w:t>author3</w:t>
      </w:r>
      <w:r>
        <w:t>. Here, a UNION query does the trick. This is the common approach to use when there are multiple columns</w:t>
      </w:r>
      <w:r w:rsidR="00C01A7E">
        <w:t>.</w:t>
      </w:r>
    </w:p>
    <w:p w14:paraId="22146623" w14:textId="77777777" w:rsidR="00F33FCD" w:rsidRDefault="00C5592E">
      <w:r>
        <w:rPr>
          <w:noProof/>
        </w:rPr>
        <w:drawing>
          <wp:inline distT="0" distB="0" distL="0" distR="0" wp14:anchorId="35818AAF" wp14:editId="45B230EB">
            <wp:extent cx="5943600" cy="3141980"/>
            <wp:effectExtent l="0" t="0" r="0" b="0"/>
            <wp:docPr id="11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9F1061" w14:textId="1C0FAA01" w:rsidR="00F33FCD" w:rsidRDefault="00C5592E">
      <w:r>
        <w:t xml:space="preserve">With the desired output, we then turn this into a migration script with our </w:t>
      </w:r>
      <w:r w:rsidR="00C01A7E">
        <w:t>four-</w:t>
      </w:r>
      <w:r>
        <w:t>step process once more:</w:t>
      </w:r>
    </w:p>
    <w:p w14:paraId="0844190B" w14:textId="77777777" w:rsidR="00F33FCD" w:rsidRDefault="00C5592E">
      <w:r>
        <w:rPr>
          <w:noProof/>
        </w:rPr>
        <w:lastRenderedPageBreak/>
        <w:drawing>
          <wp:inline distT="0" distB="0" distL="0" distR="0" wp14:anchorId="600B7CF0" wp14:editId="33C4EDA9">
            <wp:extent cx="5943600" cy="4907915"/>
            <wp:effectExtent l="0" t="0" r="0" b="0"/>
            <wp:docPr id="11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9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8174E1" w14:textId="3491D7E8" w:rsidR="00F33FCD" w:rsidRDefault="00C5592E">
      <w:r>
        <w:t xml:space="preserve">Notice in this migration script we had to alter the </w:t>
      </w:r>
      <w:r>
        <w:rPr>
          <w:b/>
        </w:rPr>
        <w:t>author_name</w:t>
      </w:r>
      <w:r>
        <w:t xml:space="preserve"> column</w:t>
      </w:r>
      <w:r w:rsidR="00C01A7E">
        <w:t>,</w:t>
      </w:r>
      <w:r>
        <w:t xml:space="preserve"> setting it to </w:t>
      </w:r>
      <w:r>
        <w:rPr>
          <w:b/>
        </w:rPr>
        <w:t>not null</w:t>
      </w:r>
      <w:r>
        <w:t xml:space="preserve">. This is required because the table created from the INTO clause allows null on all columns except the original primary key, </w:t>
      </w:r>
      <w:r>
        <w:rPr>
          <w:b/>
        </w:rPr>
        <w:t>isbn</w:t>
      </w:r>
      <w:r>
        <w:t>.</w:t>
      </w:r>
    </w:p>
    <w:p w14:paraId="7C6DAE91" w14:textId="77777777" w:rsidR="00F33FCD" w:rsidRDefault="00C5592E">
      <w:pPr>
        <w:pStyle w:val="Heading3"/>
      </w:pPr>
      <w:r>
        <w:t>Step 1.3: fb_book_authors Bridge Table</w:t>
      </w:r>
    </w:p>
    <w:p w14:paraId="16CEFC7F" w14:textId="5A14C050" w:rsidR="00F33FCD" w:rsidRDefault="00C5592E">
      <w:r>
        <w:t xml:space="preserve">In the last step of the resolution of the </w:t>
      </w:r>
      <w:r>
        <w:rPr>
          <w:b/>
        </w:rPr>
        <w:t>authors</w:t>
      </w:r>
      <w:r>
        <w:t xml:space="preserve"> columns, we must create the bridge table</w:t>
      </w:r>
      <w:r w:rsidR="00C01A7E">
        <w:t>,</w:t>
      </w:r>
      <w:r>
        <w:t xml:space="preserve"> assigning each </w:t>
      </w:r>
      <w:r>
        <w:rPr>
          <w:b/>
        </w:rPr>
        <w:t>isbn</w:t>
      </w:r>
      <w:r>
        <w:t xml:space="preserve"> and </w:t>
      </w:r>
      <w:r>
        <w:rPr>
          <w:b/>
        </w:rPr>
        <w:t>author_name</w:t>
      </w:r>
      <w:r>
        <w:t xml:space="preserve"> a row in the table. When the values are in multiple columns, we use the UNPIVOT clause to build the bridge table:</w:t>
      </w:r>
    </w:p>
    <w:p w14:paraId="1DB94584" w14:textId="77777777" w:rsidR="00F33FCD" w:rsidRDefault="00C5592E">
      <w:r>
        <w:rPr>
          <w:noProof/>
        </w:rPr>
        <w:lastRenderedPageBreak/>
        <w:drawing>
          <wp:inline distT="0" distB="0" distL="0" distR="0" wp14:anchorId="24DE4A82" wp14:editId="7EDD1618">
            <wp:extent cx="5943600" cy="3703320"/>
            <wp:effectExtent l="0" t="0" r="0" b="0"/>
            <wp:docPr id="1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ACA753" w14:textId="4A09A8AB" w:rsidR="00F33FCD" w:rsidRDefault="00C5592E">
      <w:r>
        <w:t>Notice this data s</w:t>
      </w:r>
      <w:r w:rsidR="00C01A7E">
        <w:t>t</w:t>
      </w:r>
      <w:r>
        <w:t>ill line up with the original data (three authors of book with isbn 635619239</w:t>
      </w:r>
      <w:r w:rsidR="00C01A7E">
        <w:t>,</w:t>
      </w:r>
      <w:r>
        <w:t xml:space="preserve"> for example), only now the data </w:t>
      </w:r>
      <w:r w:rsidR="00C01A7E">
        <w:t xml:space="preserve">are </w:t>
      </w:r>
      <w:r>
        <w:t>easier to query.</w:t>
      </w:r>
    </w:p>
    <w:p w14:paraId="659C1B34" w14:textId="77777777" w:rsidR="00F33FCD" w:rsidRDefault="00C5592E">
      <w:r>
        <w:t>Next, we transform this query into a migration script:</w:t>
      </w:r>
    </w:p>
    <w:p w14:paraId="30CC83FE" w14:textId="77777777" w:rsidR="00F33FCD" w:rsidRDefault="00C5592E">
      <w:r>
        <w:rPr>
          <w:noProof/>
        </w:rPr>
        <w:lastRenderedPageBreak/>
        <w:drawing>
          <wp:inline distT="0" distB="0" distL="0" distR="0" wp14:anchorId="02A591C1" wp14:editId="24D5567B">
            <wp:extent cx="5943600" cy="3921760"/>
            <wp:effectExtent l="0" t="0" r="0" b="0"/>
            <wp:docPr id="11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0F0628B" w14:textId="6F988302" w:rsidR="00F33FCD" w:rsidRDefault="00C5592E">
      <w:r>
        <w:t xml:space="preserve">Note how we used a composite primary key in this migration script. This makes sense </w:t>
      </w:r>
      <w:r w:rsidR="00C01A7E">
        <w:t xml:space="preserve">because </w:t>
      </w:r>
      <w:r>
        <w:t xml:space="preserve">the </w:t>
      </w:r>
      <w:r>
        <w:rPr>
          <w:b/>
        </w:rPr>
        <w:t>fb_book_authors</w:t>
      </w:r>
      <w:r>
        <w:t xml:space="preserve"> table is a bridge table.</w:t>
      </w:r>
    </w:p>
    <w:p w14:paraId="11013BFA" w14:textId="77777777" w:rsidR="00F33FCD" w:rsidRDefault="00C5592E">
      <w:pPr>
        <w:pStyle w:val="Heading3"/>
      </w:pPr>
      <w:r>
        <w:t>Step 1.4: fb_subjects Lookup Table</w:t>
      </w:r>
    </w:p>
    <w:p w14:paraId="77669240" w14:textId="58E8FF7E" w:rsidR="00F33FCD" w:rsidRDefault="00C5592E">
      <w:r>
        <w:t xml:space="preserve">Because the </w:t>
      </w:r>
      <w:r>
        <w:rPr>
          <w:b/>
        </w:rPr>
        <w:t xml:space="preserve">subjects </w:t>
      </w:r>
      <w:r>
        <w:t xml:space="preserve">column is a multivalued single column, we use the STRING_SPLIT function to help us extract the values. We also need distinct to </w:t>
      </w:r>
      <w:r w:rsidR="00C01A7E">
        <w:t>pare down</w:t>
      </w:r>
      <w:r>
        <w:t xml:space="preserve"> the number of unique values in the lookup table:</w:t>
      </w:r>
    </w:p>
    <w:p w14:paraId="35059670" w14:textId="77777777" w:rsidR="00F33FCD" w:rsidRDefault="00C5592E">
      <w:r>
        <w:rPr>
          <w:noProof/>
        </w:rPr>
        <w:drawing>
          <wp:inline distT="0" distB="0" distL="0" distR="0" wp14:anchorId="27637D76" wp14:editId="2ED0DB01">
            <wp:extent cx="5943600" cy="1691005"/>
            <wp:effectExtent l="0" t="0" r="0" b="0"/>
            <wp:docPr id="11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10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6923D3" w14:textId="3EAC29B3" w:rsidR="00F33FCD" w:rsidRDefault="00C5592E">
      <w:r>
        <w:t xml:space="preserve">It is left to the reader to turn this into a migration script </w:t>
      </w:r>
      <w:r w:rsidR="00C01A7E">
        <w:t xml:space="preserve">that </w:t>
      </w:r>
      <w:r>
        <w:t xml:space="preserve">creates the table </w:t>
      </w:r>
      <w:r>
        <w:rPr>
          <w:b/>
        </w:rPr>
        <w:t>fb_subjects</w:t>
      </w:r>
      <w:r w:rsidR="00C01A7E">
        <w:t xml:space="preserve">, </w:t>
      </w:r>
      <w:r>
        <w:t xml:space="preserve">populated with data and having the appropriate primary key set. </w:t>
      </w:r>
    </w:p>
    <w:p w14:paraId="06902707" w14:textId="77777777" w:rsidR="00F33FCD" w:rsidRDefault="00C5592E">
      <w:pPr>
        <w:pStyle w:val="Heading3"/>
      </w:pPr>
      <w:r>
        <w:t>Step 1.5: fb_book_subjects Bridge Table</w:t>
      </w:r>
    </w:p>
    <w:p w14:paraId="6335F50F" w14:textId="77777777" w:rsidR="00F33FCD" w:rsidRDefault="00C5592E">
      <w:r>
        <w:t>Here is the SQL to for the bridge table, which is similar to the lookup table.</w:t>
      </w:r>
    </w:p>
    <w:p w14:paraId="28071F29" w14:textId="77777777" w:rsidR="00F33FCD" w:rsidRDefault="00C5592E">
      <w:r>
        <w:rPr>
          <w:noProof/>
        </w:rPr>
        <w:lastRenderedPageBreak/>
        <w:drawing>
          <wp:inline distT="0" distB="0" distL="0" distR="0" wp14:anchorId="1D6E859D" wp14:editId="3408A01E">
            <wp:extent cx="5943600" cy="2446655"/>
            <wp:effectExtent l="0" t="0" r="0" b="0"/>
            <wp:docPr id="12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6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433226" w14:textId="4342FB4D" w:rsidR="00F33FCD" w:rsidRDefault="00C5592E">
      <w:r>
        <w:t xml:space="preserve">It is left to the reader to turn this into a migration script </w:t>
      </w:r>
      <w:r w:rsidR="00C01A7E">
        <w:t xml:space="preserve">that </w:t>
      </w:r>
      <w:r>
        <w:t xml:space="preserve">creates the </w:t>
      </w:r>
      <w:r>
        <w:rPr>
          <w:b/>
        </w:rPr>
        <w:t>fb_book_subjects</w:t>
      </w:r>
      <w:r>
        <w:t xml:space="preserve"> table. </w:t>
      </w:r>
    </w:p>
    <w:p w14:paraId="10E7B5DF" w14:textId="1B82F183" w:rsidR="00F33FCD" w:rsidRDefault="00C5592E">
      <w:r>
        <w:t>When we are finished</w:t>
      </w:r>
      <w:r w:rsidR="00C01A7E">
        <w:t>,</w:t>
      </w:r>
      <w:r>
        <w:t xml:space="preserve"> we should have </w:t>
      </w:r>
      <w:r w:rsidR="00C01A7E">
        <w:t xml:space="preserve">five </w:t>
      </w:r>
      <w:r>
        <w:t>tables</w:t>
      </w:r>
      <w:r w:rsidR="00C01A7E">
        <w:t>,</w:t>
      </w:r>
      <w:r>
        <w:t xml:space="preserve"> and </w:t>
      </w:r>
      <w:r w:rsidR="00C01A7E">
        <w:t xml:space="preserve">with </w:t>
      </w:r>
      <w:r>
        <w:t>all columns key dependent</w:t>
      </w:r>
      <w:r w:rsidR="00C01A7E">
        <w:t>,</w:t>
      </w:r>
      <w:r>
        <w:t xml:space="preserve"> we are in first normal form (1NF).</w:t>
      </w:r>
    </w:p>
    <w:p w14:paraId="2438EC3A" w14:textId="0977DFF9" w:rsidR="00F33FCD" w:rsidRDefault="00C5592E">
      <w:pPr>
        <w:pStyle w:val="Heading2"/>
      </w:pPr>
      <w:r>
        <w:t xml:space="preserve">Step 2: Resolve </w:t>
      </w:r>
      <w:r w:rsidR="00C01A7E">
        <w:t xml:space="preserve">Any </w:t>
      </w:r>
      <w:r>
        <w:t>Partial Key Dependencies</w:t>
      </w:r>
    </w:p>
    <w:p w14:paraId="36CB3A19" w14:textId="71CC2841" w:rsidR="00F33FCD" w:rsidRDefault="00C5592E">
      <w:r>
        <w:t>We can skip this step because partial dependencies apply</w:t>
      </w:r>
      <w:r w:rsidR="00C01A7E">
        <w:t xml:space="preserve"> only</w:t>
      </w:r>
      <w:r>
        <w:t xml:space="preserve"> to composite primary keys. The only composite primary keys are in the bridge tables. At this point there are no partial key dependencies</w:t>
      </w:r>
      <w:r w:rsidR="00C01A7E">
        <w:t>.</w:t>
      </w:r>
      <w:r>
        <w:t xml:space="preserve"> </w:t>
      </w:r>
      <w:r w:rsidR="00C01A7E">
        <w:t>W</w:t>
      </w:r>
      <w:r>
        <w:t xml:space="preserve">e are now in </w:t>
      </w:r>
      <w:r w:rsidR="00C01A7E">
        <w:t xml:space="preserve">second </w:t>
      </w:r>
      <w:r>
        <w:t>normal form (2NF)</w:t>
      </w:r>
    </w:p>
    <w:p w14:paraId="2D80A06F" w14:textId="4031273F" w:rsidR="00F33FCD" w:rsidRDefault="00C5592E">
      <w:pPr>
        <w:pStyle w:val="Heading2"/>
      </w:pPr>
      <w:r>
        <w:t xml:space="preserve">Step 3: Resolve </w:t>
      </w:r>
      <w:r w:rsidR="00C01A7E">
        <w:t xml:space="preserve">Any </w:t>
      </w:r>
      <w:r>
        <w:t xml:space="preserve">Transitive dependencies </w:t>
      </w:r>
    </w:p>
    <w:p w14:paraId="3A978383" w14:textId="38BB6970" w:rsidR="00F33FCD" w:rsidRDefault="00C5592E">
      <w:r>
        <w:t>In this final step</w:t>
      </w:r>
      <w:r w:rsidR="00C01A7E">
        <w:t xml:space="preserve">, </w:t>
      </w:r>
      <w:r>
        <w:t>we must resolve any transitive dependencies. These occur when a non-key acts as a key for other non-key columns. Observe:</w:t>
      </w:r>
    </w:p>
    <w:p w14:paraId="619D137A" w14:textId="77777777" w:rsidR="00F33FCD" w:rsidRDefault="00C5592E">
      <w:r>
        <w:rPr>
          <w:noProof/>
        </w:rPr>
        <w:drawing>
          <wp:inline distT="0" distB="0" distL="0" distR="0" wp14:anchorId="49F36EB2" wp14:editId="1AEA8DAA">
            <wp:extent cx="5943600" cy="1068705"/>
            <wp:effectExtent l="0" t="0" r="0" b="0"/>
            <wp:docPr id="118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8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0115D2" w14:textId="199877D9" w:rsidR="00F33FCD" w:rsidRDefault="00C5592E">
      <w:r>
        <w:t xml:space="preserve">The </w:t>
      </w:r>
      <w:r>
        <w:rPr>
          <w:b/>
        </w:rPr>
        <w:t>pub_no</w:t>
      </w:r>
      <w:r>
        <w:t xml:space="preserve"> (publisher number) column acts as a key for the </w:t>
      </w:r>
      <w:r>
        <w:rPr>
          <w:b/>
        </w:rPr>
        <w:t>pub_name</w:t>
      </w:r>
      <w:r>
        <w:t xml:space="preserve"> and </w:t>
      </w:r>
      <w:r>
        <w:rPr>
          <w:b/>
        </w:rPr>
        <w:t>pub_website</w:t>
      </w:r>
      <w:r>
        <w:t xml:space="preserve"> columns. In actuality, this table has </w:t>
      </w:r>
      <w:r w:rsidR="00C01A7E">
        <w:t xml:space="preserve">four </w:t>
      </w:r>
      <w:r>
        <w:t xml:space="preserve">books and </w:t>
      </w:r>
      <w:r w:rsidR="00C01A7E">
        <w:t xml:space="preserve">two </w:t>
      </w:r>
      <w:r>
        <w:t>publishers. The first two books were pub</w:t>
      </w:r>
      <w:r w:rsidR="00C01A7E">
        <w:t>l</w:t>
      </w:r>
      <w:r>
        <w:t>ished by Rypoff Publishing, and the last two books were published by B.</w:t>
      </w:r>
      <w:r w:rsidR="00C01A7E">
        <w:t xml:space="preserve"> </w:t>
      </w:r>
      <w:r>
        <w:t>S. Press. Transitive dependencies are hidden 1-M relationships</w:t>
      </w:r>
      <w:r w:rsidR="00C01A7E">
        <w:t>,</w:t>
      </w:r>
      <w:r>
        <w:t xml:space="preserve"> like this one </w:t>
      </w:r>
      <w:r w:rsidR="00C01A7E">
        <w:t xml:space="preserve">that </w:t>
      </w:r>
      <w:r>
        <w:t>we have between publisher and book. To resolve</w:t>
      </w:r>
      <w:r w:rsidR="00C01A7E">
        <w:t>,</w:t>
      </w:r>
      <w:r>
        <w:t xml:space="preserve"> we must:</w:t>
      </w:r>
    </w:p>
    <w:p w14:paraId="5EAF05B5" w14:textId="093A76FC" w:rsidR="00F33FCD" w:rsidRDefault="00C55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3NF version of fudgenbooks_1nf</w:t>
      </w:r>
      <w:r w:rsidR="00C01A7E">
        <w:rPr>
          <w:color w:val="000000"/>
        </w:rPr>
        <w:t>.</w:t>
      </w:r>
      <w:r>
        <w:rPr>
          <w:color w:val="000000"/>
        </w:rPr>
        <w:t xml:space="preserve"> </w:t>
      </w:r>
      <w:r w:rsidR="00C01A7E">
        <w:rPr>
          <w:color w:val="000000"/>
        </w:rPr>
        <w:t>W</w:t>
      </w:r>
      <w:r>
        <w:rPr>
          <w:color w:val="000000"/>
        </w:rPr>
        <w:t xml:space="preserve">e will call this table </w:t>
      </w:r>
      <w:r>
        <w:rPr>
          <w:b/>
          <w:color w:val="000000"/>
        </w:rPr>
        <w:t>fb_books</w:t>
      </w:r>
      <w:r>
        <w:rPr>
          <w:color w:val="000000"/>
        </w:rPr>
        <w:t xml:space="preserve"> with the transitive dependencies removed. We must leave </w:t>
      </w:r>
      <w:r>
        <w:rPr>
          <w:b/>
          <w:color w:val="000000"/>
        </w:rPr>
        <w:t>pub_no</w:t>
      </w:r>
      <w:r>
        <w:rPr>
          <w:color w:val="000000"/>
        </w:rPr>
        <w:t xml:space="preserve"> in the table as the FK. This is the “many” side table of the hidden 1-M relationship.</w:t>
      </w:r>
    </w:p>
    <w:p w14:paraId="7B7AEA96" w14:textId="22F34909" w:rsidR="00F33FCD" w:rsidRDefault="00C5592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The table </w:t>
      </w:r>
      <w:r>
        <w:rPr>
          <w:b/>
          <w:color w:val="000000"/>
        </w:rPr>
        <w:t>fb_publishers</w:t>
      </w:r>
      <w:r>
        <w:rPr>
          <w:color w:val="000000"/>
        </w:rPr>
        <w:t xml:space="preserve"> should contain the </w:t>
      </w:r>
      <w:r>
        <w:rPr>
          <w:b/>
          <w:color w:val="000000"/>
        </w:rPr>
        <w:t>pub_no</w:t>
      </w:r>
      <w:r>
        <w:rPr>
          <w:color w:val="000000"/>
        </w:rPr>
        <w:t xml:space="preserve"> as primary key and the transitively dependent columns. This table is the “one” side of this hidden 1-M relationship.</w:t>
      </w:r>
    </w:p>
    <w:p w14:paraId="358663AB" w14:textId="0E1F8E15" w:rsidR="00F33FCD" w:rsidRDefault="00C5592E">
      <w:pPr>
        <w:pStyle w:val="Heading3"/>
      </w:pPr>
      <w:r>
        <w:lastRenderedPageBreak/>
        <w:t xml:space="preserve">Step 3.1: fb_books </w:t>
      </w:r>
      <w:r w:rsidR="00C01A7E">
        <w:t>T</w:t>
      </w:r>
      <w:r>
        <w:t xml:space="preserve">able </w:t>
      </w:r>
      <w:r w:rsidR="00C01A7E">
        <w:t xml:space="preserve">From </w:t>
      </w:r>
      <w:r>
        <w:t>the Original Table</w:t>
      </w:r>
    </w:p>
    <w:p w14:paraId="7FAA759A" w14:textId="6A65AFFB" w:rsidR="00F33FCD" w:rsidRDefault="00C5592E">
      <w:r>
        <w:t>First</w:t>
      </w:r>
      <w:r w:rsidR="00C01A7E">
        <w:t>,</w:t>
      </w:r>
      <w:r>
        <w:t xml:space="preserve"> remove the transitive dependencies from the </w:t>
      </w:r>
      <w:r>
        <w:rPr>
          <w:b/>
        </w:rPr>
        <w:t xml:space="preserve">fudgenbooks_1nf </w:t>
      </w:r>
      <w:r>
        <w:t xml:space="preserve"> table to create the table </w:t>
      </w:r>
      <w:r>
        <w:rPr>
          <w:b/>
        </w:rPr>
        <w:t>fb_books</w:t>
      </w:r>
      <w:r>
        <w:t>.</w:t>
      </w:r>
    </w:p>
    <w:p w14:paraId="496E9705" w14:textId="77777777" w:rsidR="00F33FCD" w:rsidRDefault="00C5592E">
      <w:r>
        <w:rPr>
          <w:noProof/>
        </w:rPr>
        <w:drawing>
          <wp:inline distT="0" distB="0" distL="0" distR="0" wp14:anchorId="334974EC" wp14:editId="2417441F">
            <wp:extent cx="4983709" cy="2362070"/>
            <wp:effectExtent l="0" t="0" r="0" b="0"/>
            <wp:docPr id="11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83709" cy="23620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A4813F" w14:textId="77777777" w:rsidR="00F33FCD" w:rsidRDefault="00C5592E">
      <w:r>
        <w:t xml:space="preserve">The migration script for the table </w:t>
      </w:r>
      <w:r>
        <w:rPr>
          <w:b/>
        </w:rPr>
        <w:t>fb_books</w:t>
      </w:r>
      <w:r>
        <w:t xml:space="preserve"> is left to the reader to complete.</w:t>
      </w:r>
    </w:p>
    <w:p w14:paraId="6BFF0CF9" w14:textId="1F6B878F" w:rsidR="00F33FCD" w:rsidRDefault="00C5592E">
      <w:pPr>
        <w:pStyle w:val="Heading3"/>
      </w:pPr>
      <w:r>
        <w:t xml:space="preserve">Step 3.2: fb_publishers </w:t>
      </w:r>
      <w:r w:rsidR="00C01A7E">
        <w:t xml:space="preserve">Table From </w:t>
      </w:r>
      <w:r>
        <w:t>Transitive Dependencies</w:t>
      </w:r>
    </w:p>
    <w:p w14:paraId="32A1AA6A" w14:textId="77777777" w:rsidR="00F33FCD" w:rsidRDefault="00C5592E">
      <w:r>
        <w:rPr>
          <w:noProof/>
        </w:rPr>
        <w:drawing>
          <wp:inline distT="0" distB="0" distL="0" distR="0" wp14:anchorId="2B9D308E" wp14:editId="485C8284">
            <wp:extent cx="4207685" cy="1670467"/>
            <wp:effectExtent l="0" t="0" r="0" b="0"/>
            <wp:docPr id="12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7685" cy="16704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F136504" w14:textId="77777777" w:rsidR="00F33FCD" w:rsidRDefault="00C5592E">
      <w:r>
        <w:t xml:space="preserve">The migration script for the table </w:t>
      </w:r>
      <w:r>
        <w:rPr>
          <w:b/>
        </w:rPr>
        <w:t xml:space="preserve">fb_publishers </w:t>
      </w:r>
      <w:r>
        <w:t>is left to the reader to complete.</w:t>
      </w:r>
    </w:p>
    <w:p w14:paraId="261759B8" w14:textId="7B3C429A" w:rsidR="00F33FCD" w:rsidRDefault="00C5592E">
      <w:r>
        <w:t>At this point</w:t>
      </w:r>
      <w:r w:rsidR="00C01A7E">
        <w:t>,</w:t>
      </w:r>
      <w:r>
        <w:t xml:space="preserve"> there are no transitive dependencies</w:t>
      </w:r>
      <w:r w:rsidR="00C01A7E">
        <w:t>,</w:t>
      </w:r>
      <w:r>
        <w:t xml:space="preserve"> </w:t>
      </w:r>
      <w:r w:rsidR="00C01A7E">
        <w:t xml:space="preserve">so </w:t>
      </w:r>
      <w:r>
        <w:t>we are now in third normal form (3NF)</w:t>
      </w:r>
      <w:r w:rsidR="00C01A7E">
        <w:t>.</w:t>
      </w:r>
    </w:p>
    <w:p w14:paraId="68D9A6B5" w14:textId="51D3FCFD" w:rsidR="00F33FCD" w:rsidRDefault="00C5592E">
      <w:pPr>
        <w:pStyle w:val="Heading2"/>
      </w:pPr>
      <w:r>
        <w:t xml:space="preserve">Step 4: Add the Foreign </w:t>
      </w:r>
      <w:r w:rsidR="00C01A7E">
        <w:t>Keys</w:t>
      </w:r>
    </w:p>
    <w:p w14:paraId="00DD56CF" w14:textId="4C9D573E" w:rsidR="00F33FCD" w:rsidRDefault="00C5592E">
      <w:r>
        <w:t>At this point, our tables are in third normal form. Our normalized model is complete</w:t>
      </w:r>
      <w:r w:rsidR="00C01A7E">
        <w:t>,</w:t>
      </w:r>
      <w:r>
        <w:t xml:space="preserve"> and so now we should reintroduce our foreign keys back into the model. Here are our tables:</w:t>
      </w:r>
    </w:p>
    <w:p w14:paraId="4657E9A3" w14:textId="77777777" w:rsidR="00F33FCD" w:rsidRDefault="00C5592E">
      <w:r>
        <w:rPr>
          <w:noProof/>
        </w:rPr>
        <w:lastRenderedPageBreak/>
        <w:drawing>
          <wp:inline distT="0" distB="0" distL="0" distR="0" wp14:anchorId="2007CE02" wp14:editId="6676E436">
            <wp:extent cx="4648849" cy="2848373"/>
            <wp:effectExtent l="0" t="0" r="0" b="0"/>
            <wp:docPr id="1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48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AAF306" w14:textId="4B28BD7D" w:rsidR="00F33FCD" w:rsidRDefault="00C5592E">
      <w:r>
        <w:t>Left to the reader, write an up</w:t>
      </w:r>
      <w:r w:rsidR="00C01A7E">
        <w:t>/</w:t>
      </w:r>
      <w:r>
        <w:t>down script to add the following foreign keys:</w:t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6"/>
        <w:gridCol w:w="1443"/>
        <w:gridCol w:w="3185"/>
        <w:gridCol w:w="2746"/>
      </w:tblGrid>
      <w:tr w:rsidR="00F33FCD" w14:paraId="4304359D" w14:textId="77777777">
        <w:tc>
          <w:tcPr>
            <w:tcW w:w="1976" w:type="dxa"/>
          </w:tcPr>
          <w:p w14:paraId="7A3A0631" w14:textId="77777777" w:rsidR="00F33FCD" w:rsidRDefault="00C5592E">
            <w:pPr>
              <w:rPr>
                <w:b/>
              </w:rPr>
            </w:pPr>
            <w:r>
              <w:rPr>
                <w:b/>
              </w:rPr>
              <w:t>Table</w:t>
            </w:r>
          </w:p>
        </w:tc>
        <w:tc>
          <w:tcPr>
            <w:tcW w:w="1443" w:type="dxa"/>
          </w:tcPr>
          <w:p w14:paraId="1F0C7DEA" w14:textId="77777777" w:rsidR="00F33FCD" w:rsidRDefault="00C5592E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3185" w:type="dxa"/>
          </w:tcPr>
          <w:p w14:paraId="3D473414" w14:textId="77777777" w:rsidR="00F33FCD" w:rsidRDefault="00C5592E">
            <w:pPr>
              <w:rPr>
                <w:b/>
              </w:rPr>
            </w:pPr>
            <w:r>
              <w:rPr>
                <w:b/>
              </w:rPr>
              <w:t>FK Name</w:t>
            </w:r>
          </w:p>
        </w:tc>
        <w:tc>
          <w:tcPr>
            <w:tcW w:w="2746" w:type="dxa"/>
          </w:tcPr>
          <w:p w14:paraId="6FA5B456" w14:textId="77777777" w:rsidR="00F33FCD" w:rsidRDefault="00C5592E">
            <w:pPr>
              <w:rPr>
                <w:b/>
              </w:rPr>
            </w:pPr>
            <w:r>
              <w:rPr>
                <w:b/>
              </w:rPr>
              <w:t>References</w:t>
            </w:r>
          </w:p>
        </w:tc>
      </w:tr>
      <w:tr w:rsidR="00F33FCD" w14:paraId="45D4752E" w14:textId="77777777">
        <w:tc>
          <w:tcPr>
            <w:tcW w:w="1976" w:type="dxa"/>
          </w:tcPr>
          <w:p w14:paraId="138990F2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fb_book_authors</w:t>
            </w:r>
          </w:p>
        </w:tc>
        <w:tc>
          <w:tcPr>
            <w:tcW w:w="1443" w:type="dxa"/>
          </w:tcPr>
          <w:p w14:paraId="1F8A3D47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isbn</w:t>
            </w:r>
          </w:p>
        </w:tc>
        <w:tc>
          <w:tcPr>
            <w:tcW w:w="3185" w:type="dxa"/>
          </w:tcPr>
          <w:p w14:paraId="155D8A76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fk_book_authors_isbn</w:t>
            </w:r>
          </w:p>
        </w:tc>
        <w:tc>
          <w:tcPr>
            <w:tcW w:w="2746" w:type="dxa"/>
          </w:tcPr>
          <w:p w14:paraId="40959726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fb_books(isbn)</w:t>
            </w:r>
          </w:p>
        </w:tc>
      </w:tr>
      <w:tr w:rsidR="00F33FCD" w14:paraId="087753E9" w14:textId="77777777">
        <w:tc>
          <w:tcPr>
            <w:tcW w:w="1976" w:type="dxa"/>
          </w:tcPr>
          <w:p w14:paraId="02A04087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fb_book_authors</w:t>
            </w:r>
          </w:p>
        </w:tc>
        <w:tc>
          <w:tcPr>
            <w:tcW w:w="1443" w:type="dxa"/>
          </w:tcPr>
          <w:p w14:paraId="58D83436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author_name</w:t>
            </w:r>
          </w:p>
        </w:tc>
        <w:tc>
          <w:tcPr>
            <w:tcW w:w="3185" w:type="dxa"/>
          </w:tcPr>
          <w:p w14:paraId="7957EC29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fk_book_authors_author_name</w:t>
            </w:r>
          </w:p>
        </w:tc>
        <w:tc>
          <w:tcPr>
            <w:tcW w:w="2746" w:type="dxa"/>
          </w:tcPr>
          <w:p w14:paraId="3D0BCAFE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fb_authors(author_name)</w:t>
            </w:r>
          </w:p>
        </w:tc>
      </w:tr>
      <w:tr w:rsidR="00F33FCD" w14:paraId="51F3E61F" w14:textId="77777777">
        <w:tc>
          <w:tcPr>
            <w:tcW w:w="1976" w:type="dxa"/>
          </w:tcPr>
          <w:p w14:paraId="64DAB8C1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fb_book_subjects</w:t>
            </w:r>
          </w:p>
        </w:tc>
        <w:tc>
          <w:tcPr>
            <w:tcW w:w="1443" w:type="dxa"/>
          </w:tcPr>
          <w:p w14:paraId="35EEBD46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isbn</w:t>
            </w:r>
          </w:p>
        </w:tc>
        <w:tc>
          <w:tcPr>
            <w:tcW w:w="3185" w:type="dxa"/>
          </w:tcPr>
          <w:p w14:paraId="22DFF542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fk_book_subjects_isbn</w:t>
            </w:r>
          </w:p>
        </w:tc>
        <w:tc>
          <w:tcPr>
            <w:tcW w:w="2746" w:type="dxa"/>
          </w:tcPr>
          <w:p w14:paraId="04D09BC1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fb_books(isbn)</w:t>
            </w:r>
          </w:p>
        </w:tc>
      </w:tr>
      <w:tr w:rsidR="00F33FCD" w14:paraId="6BE5325E" w14:textId="77777777">
        <w:tc>
          <w:tcPr>
            <w:tcW w:w="1976" w:type="dxa"/>
          </w:tcPr>
          <w:p w14:paraId="14D01725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fb_book_subjects</w:t>
            </w:r>
          </w:p>
        </w:tc>
        <w:tc>
          <w:tcPr>
            <w:tcW w:w="1443" w:type="dxa"/>
          </w:tcPr>
          <w:p w14:paraId="0E149ECA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subject</w:t>
            </w:r>
          </w:p>
        </w:tc>
        <w:tc>
          <w:tcPr>
            <w:tcW w:w="3185" w:type="dxa"/>
          </w:tcPr>
          <w:p w14:paraId="481C75A3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fk_book_subjects_subject</w:t>
            </w:r>
          </w:p>
        </w:tc>
        <w:tc>
          <w:tcPr>
            <w:tcW w:w="2746" w:type="dxa"/>
          </w:tcPr>
          <w:p w14:paraId="06D9C848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fb_subjects(subject)</w:t>
            </w:r>
          </w:p>
        </w:tc>
      </w:tr>
      <w:tr w:rsidR="00F33FCD" w14:paraId="52273213" w14:textId="77777777">
        <w:tc>
          <w:tcPr>
            <w:tcW w:w="1976" w:type="dxa"/>
          </w:tcPr>
          <w:p w14:paraId="52CA338A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fb_books</w:t>
            </w:r>
          </w:p>
        </w:tc>
        <w:tc>
          <w:tcPr>
            <w:tcW w:w="1443" w:type="dxa"/>
          </w:tcPr>
          <w:p w14:paraId="3228047C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pub_no</w:t>
            </w:r>
          </w:p>
        </w:tc>
        <w:tc>
          <w:tcPr>
            <w:tcW w:w="3185" w:type="dxa"/>
          </w:tcPr>
          <w:p w14:paraId="4440CA3C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fk_books_pub_no</w:t>
            </w:r>
          </w:p>
        </w:tc>
        <w:tc>
          <w:tcPr>
            <w:tcW w:w="2746" w:type="dxa"/>
          </w:tcPr>
          <w:p w14:paraId="049B3AB0" w14:textId="77777777" w:rsidR="00F33FCD" w:rsidRDefault="00C5592E">
            <w:pPr>
              <w:rPr>
                <w:rFonts w:ascii="Consolas" w:eastAsia="Consolas" w:hAnsi="Consolas" w:cs="Consolas"/>
                <w:sz w:val="20"/>
                <w:szCs w:val="20"/>
              </w:rPr>
            </w:pPr>
            <w:r>
              <w:rPr>
                <w:rFonts w:ascii="Consolas" w:eastAsia="Consolas" w:hAnsi="Consolas" w:cs="Consolas"/>
                <w:sz w:val="20"/>
                <w:szCs w:val="20"/>
              </w:rPr>
              <w:t>fb_publishers(pub_no)</w:t>
            </w:r>
          </w:p>
        </w:tc>
      </w:tr>
    </w:tbl>
    <w:p w14:paraId="44B8EF53" w14:textId="77777777" w:rsidR="00F33FCD" w:rsidRDefault="00F33FCD"/>
    <w:p w14:paraId="05C216A0" w14:textId="66ACCB58" w:rsidR="00F33FCD" w:rsidRDefault="00C5592E">
      <w:r>
        <w:t>Your script should alter the tables</w:t>
      </w:r>
      <w:r w:rsidR="00C01A7E">
        <w:t>,</w:t>
      </w:r>
      <w:r>
        <w:t xml:space="preserve"> add the FKs at the bottom of the script, and drop the foreign keys (if they exist) before you start the migration. Code like this, which soft-drops the FK, should appear at the top</w:t>
      </w:r>
      <w:r w:rsidR="00C01A7E">
        <w:t>,</w:t>
      </w:r>
      <w:r>
        <w:t xml:space="preserve"> before any migrations.</w:t>
      </w:r>
    </w:p>
    <w:p w14:paraId="01EAB8F1" w14:textId="77777777" w:rsidR="00F33FCD" w:rsidRDefault="00C5592E">
      <w:r>
        <w:rPr>
          <w:noProof/>
        </w:rPr>
        <w:drawing>
          <wp:inline distT="0" distB="0" distL="0" distR="0" wp14:anchorId="7A1DE260" wp14:editId="67827941">
            <wp:extent cx="5943600" cy="887095"/>
            <wp:effectExtent l="0" t="0" r="0" b="0"/>
            <wp:docPr id="12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C5AD99" w14:textId="0E01EC67" w:rsidR="00F33FCD" w:rsidRDefault="00C5592E">
      <w:r>
        <w:t>(</w:t>
      </w:r>
      <w:r w:rsidR="00C01A7E">
        <w:t xml:space="preserve">Repeat </w:t>
      </w:r>
      <w:r>
        <w:t>for each foreign key</w:t>
      </w:r>
      <w:r w:rsidR="00C01A7E">
        <w:t>.</w:t>
      </w:r>
      <w:r>
        <w:t>)</w:t>
      </w:r>
    </w:p>
    <w:p w14:paraId="4EA19B54" w14:textId="30E2C9E8" w:rsidR="00F33FCD" w:rsidRDefault="00C5592E">
      <w:r>
        <w:t>When you are finished</w:t>
      </w:r>
      <w:r w:rsidR="00C01A7E">
        <w:t>,</w:t>
      </w:r>
      <w:r>
        <w:t xml:space="preserve"> you should have a single script to normalize and migrate the data to new tables!</w:t>
      </w:r>
    </w:p>
    <w:p w14:paraId="28D0C0B5" w14:textId="77777777" w:rsidR="00F33FCD" w:rsidRDefault="00C5592E">
      <w:pPr>
        <w:pStyle w:val="Heading1"/>
      </w:pPr>
      <w:r>
        <w:t>Questions</w:t>
      </w:r>
    </w:p>
    <w:p w14:paraId="6B7D9566" w14:textId="2868E534" w:rsidR="00F33FCD" w:rsidRDefault="00C5592E">
      <w:r>
        <w:t>Answer these questions using the problem set submission template. For any screen</w:t>
      </w:r>
      <w:r w:rsidR="00C01A7E">
        <w:t xml:space="preserve"> </w:t>
      </w:r>
      <w:r>
        <w:t>shots provided, please follow the guidelines for submitting a screen</w:t>
      </w:r>
      <w:r w:rsidR="00C01A7E">
        <w:t xml:space="preserve"> </w:t>
      </w:r>
      <w:r>
        <w:t>shot.</w:t>
      </w:r>
    </w:p>
    <w:p w14:paraId="4BD96C5B" w14:textId="564DAFF5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F34D61">
        <w:rPr>
          <w:color w:val="000000"/>
        </w:rPr>
        <w:t xml:space="preserve"> </w:t>
      </w:r>
      <w:r>
        <w:rPr>
          <w:color w:val="000000"/>
        </w:rPr>
        <w:t xml:space="preserve">shot of your working migrations for </w:t>
      </w:r>
      <w:r w:rsidR="00F34D61">
        <w:rPr>
          <w:color w:val="000000"/>
        </w:rPr>
        <w:t xml:space="preserve">Steps </w:t>
      </w:r>
      <w:r>
        <w:rPr>
          <w:color w:val="000000"/>
        </w:rPr>
        <w:t>1.4, 3.1</w:t>
      </w:r>
      <w:r w:rsidR="00F34D61">
        <w:rPr>
          <w:color w:val="000000"/>
        </w:rPr>
        <w:t>,</w:t>
      </w:r>
      <w:r>
        <w:rPr>
          <w:color w:val="000000"/>
        </w:rPr>
        <w:t xml:space="preserve"> and 3.2 in the walkthrough.</w:t>
      </w:r>
    </w:p>
    <w:p w14:paraId="6F1EB41A" w14:textId="7D6424F7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Provide a screen</w:t>
      </w:r>
      <w:r w:rsidR="00F34D61">
        <w:rPr>
          <w:color w:val="000000"/>
        </w:rPr>
        <w:t xml:space="preserve"> </w:t>
      </w:r>
      <w:r>
        <w:rPr>
          <w:color w:val="000000"/>
        </w:rPr>
        <w:t xml:space="preserve">shot of your adding foreign keys in </w:t>
      </w:r>
      <w:r w:rsidR="00F34D61">
        <w:rPr>
          <w:color w:val="000000"/>
        </w:rPr>
        <w:t xml:space="preserve">Step </w:t>
      </w:r>
      <w:r>
        <w:rPr>
          <w:color w:val="000000"/>
        </w:rPr>
        <w:t>4 and a separate screen</w:t>
      </w:r>
      <w:r w:rsidR="00F34D61">
        <w:rPr>
          <w:color w:val="000000"/>
        </w:rPr>
        <w:t xml:space="preserve"> </w:t>
      </w:r>
      <w:r>
        <w:rPr>
          <w:color w:val="000000"/>
        </w:rPr>
        <w:t>shot of your code to drop the foreign keys.</w:t>
      </w:r>
    </w:p>
    <w:p w14:paraId="07F02982" w14:textId="77777777" w:rsidR="00F33FCD" w:rsidRDefault="00C5592E">
      <w:pPr>
        <w:ind w:left="360"/>
      </w:pPr>
      <w:r>
        <w:lastRenderedPageBreak/>
        <w:t xml:space="preserve">Normalize the </w:t>
      </w:r>
      <w:r>
        <w:rPr>
          <w:b/>
        </w:rPr>
        <w:t>xyz_consulting</w:t>
      </w:r>
      <w:r>
        <w:t xml:space="preserve"> database. You can get this script in the same place you got this lab. </w:t>
      </w:r>
    </w:p>
    <w:p w14:paraId="23750E9C" w14:textId="08399DCB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F34D61">
        <w:rPr>
          <w:color w:val="000000"/>
        </w:rPr>
        <w:t xml:space="preserve"> </w:t>
      </w:r>
      <w:r>
        <w:rPr>
          <w:color w:val="000000"/>
        </w:rPr>
        <w:t>shot of your migration scripts (if any) to 1NF</w:t>
      </w:r>
      <w:r w:rsidR="00F34D61">
        <w:rPr>
          <w:color w:val="000000"/>
        </w:rPr>
        <w:t>.</w:t>
      </w:r>
    </w:p>
    <w:p w14:paraId="5CBE3ADB" w14:textId="158B3792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F34D61">
        <w:rPr>
          <w:color w:val="000000"/>
        </w:rPr>
        <w:t xml:space="preserve"> </w:t>
      </w:r>
      <w:r>
        <w:rPr>
          <w:color w:val="000000"/>
        </w:rPr>
        <w:t>shot of your migration scripts (if any) to 2NF</w:t>
      </w:r>
      <w:r w:rsidR="00F34D61">
        <w:rPr>
          <w:color w:val="000000"/>
        </w:rPr>
        <w:t>.</w:t>
      </w:r>
    </w:p>
    <w:p w14:paraId="08E4C8A4" w14:textId="7F598EF4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screen</w:t>
      </w:r>
      <w:r w:rsidR="00F34D61">
        <w:rPr>
          <w:color w:val="000000"/>
        </w:rPr>
        <w:t xml:space="preserve"> </w:t>
      </w:r>
      <w:r>
        <w:rPr>
          <w:color w:val="000000"/>
        </w:rPr>
        <w:t>shot of your migration scripts (if any) to 3NF</w:t>
      </w:r>
      <w:r w:rsidR="00F34D61">
        <w:rPr>
          <w:color w:val="000000"/>
        </w:rPr>
        <w:t>.</w:t>
      </w:r>
    </w:p>
    <w:p w14:paraId="4BF1F054" w14:textId="18448F1B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Provide a list of tables in 3NF</w:t>
      </w:r>
      <w:r w:rsidR="00F34D61">
        <w:rPr>
          <w:color w:val="000000"/>
        </w:rPr>
        <w:t>.</w:t>
      </w:r>
    </w:p>
    <w:p w14:paraId="1B9D9B90" w14:textId="77777777" w:rsidR="00F33FCD" w:rsidRDefault="00C5592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Add all foreign keys back to the new model.</w:t>
      </w:r>
    </w:p>
    <w:sectPr w:rsidR="00F33FC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614AE"/>
    <w:multiLevelType w:val="multilevel"/>
    <w:tmpl w:val="2F6490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40589"/>
    <w:multiLevelType w:val="multilevel"/>
    <w:tmpl w:val="1ED4EAB0"/>
    <w:lvl w:ilvl="0">
      <w:start w:val="1"/>
      <w:numFmt w:val="bullet"/>
      <w:lvlText w:val="●"/>
      <w:lvlJc w:val="left"/>
      <w:pPr>
        <w:ind w:left="774" w:hanging="359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34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9A01517"/>
    <w:multiLevelType w:val="multilevel"/>
    <w:tmpl w:val="9FD2D1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644736A"/>
    <w:multiLevelType w:val="multilevel"/>
    <w:tmpl w:val="FCEA4D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18B7527"/>
    <w:multiLevelType w:val="multilevel"/>
    <w:tmpl w:val="784A41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145F03"/>
    <w:multiLevelType w:val="multilevel"/>
    <w:tmpl w:val="7EA2AE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CE40269"/>
    <w:multiLevelType w:val="multilevel"/>
    <w:tmpl w:val="5384845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3090737">
    <w:abstractNumId w:val="0"/>
  </w:num>
  <w:num w:numId="2" w16cid:durableId="51390885">
    <w:abstractNumId w:val="4"/>
  </w:num>
  <w:num w:numId="3" w16cid:durableId="1622879492">
    <w:abstractNumId w:val="3"/>
  </w:num>
  <w:num w:numId="4" w16cid:durableId="698552770">
    <w:abstractNumId w:val="1"/>
  </w:num>
  <w:num w:numId="5" w16cid:durableId="119423519">
    <w:abstractNumId w:val="5"/>
  </w:num>
  <w:num w:numId="6" w16cid:durableId="1181702334">
    <w:abstractNumId w:val="2"/>
  </w:num>
  <w:num w:numId="7" w16cid:durableId="79668557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FCD"/>
    <w:rsid w:val="00153581"/>
    <w:rsid w:val="004A5063"/>
    <w:rsid w:val="00C01A7E"/>
    <w:rsid w:val="00C5592E"/>
    <w:rsid w:val="00F33FCD"/>
    <w:rsid w:val="00F3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56D28"/>
  <w15:docId w15:val="{C1BFE8DB-8718-E245-B8FB-2029108D5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2C83"/>
  </w:style>
  <w:style w:type="paragraph" w:styleId="Heading1">
    <w:name w:val="heading 1"/>
    <w:basedOn w:val="Normal"/>
    <w:next w:val="Normal"/>
    <w:link w:val="Heading1Char"/>
    <w:uiPriority w:val="9"/>
    <w:qFormat/>
    <w:rsid w:val="00FE6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8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C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6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8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8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043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2C7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170C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26FC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C28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C2855"/>
    <w:rPr>
      <w:rFonts w:ascii="Courier New" w:eastAsia="Times New Roman" w:hAnsi="Courier New" w:cs="Courier New"/>
      <w:sz w:val="20"/>
      <w:szCs w:val="20"/>
    </w:rPr>
  </w:style>
  <w:style w:type="paragraph" w:customStyle="1" w:styleId="qowt-li-00">
    <w:name w:val="qowt-li-0_0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qowt-stl-listparagraph">
    <w:name w:val="qowt-stl-listparagraph"/>
    <w:basedOn w:val="Normal"/>
    <w:rsid w:val="00FD51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25D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Spacing">
    <w:name w:val="No Spacing"/>
    <w:uiPriority w:val="1"/>
    <w:qFormat/>
    <w:rsid w:val="009D631F"/>
    <w:pPr>
      <w:spacing w:after="0" w:line="240" w:lineRule="auto"/>
    </w:pPr>
  </w:style>
  <w:style w:type="table" w:styleId="TableGrid">
    <w:name w:val="Table Grid"/>
    <w:basedOn w:val="TableNormal"/>
    <w:uiPriority w:val="39"/>
    <w:rsid w:val="00173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CommentReference">
    <w:name w:val="annotation reference"/>
    <w:basedOn w:val="DefaultParagraphFont"/>
    <w:uiPriority w:val="99"/>
    <w:semiHidden/>
    <w:unhideWhenUsed/>
    <w:rsid w:val="00C01A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A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A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A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A7E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01A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hyperlink" Target="https://localhost:500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WEyjaCR7/Y1j+/z96XDOM2ke4A==">AMUW2mUAmHbpccNsUuGjC2w3wHEW8+vxWMcr8ueI8fgdwJT/g8i0ZM6zU+iK6zwnM0piFcEa7xrBBK8PuZA1QIuHtW9uBCDK+IKLlpSmul/buNO3bVypf4c=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1303</Words>
  <Characters>7431</Characters>
  <Application>Microsoft Office Word</Application>
  <DocSecurity>0</DocSecurity>
  <Lines>61</Lines>
  <Paragraphs>17</Paragraphs>
  <ScaleCrop>false</ScaleCrop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A Fudge Jr</dc:creator>
  <cp:lastModifiedBy>Michael Fudge</cp:lastModifiedBy>
  <cp:revision>2</cp:revision>
  <dcterms:created xsi:type="dcterms:W3CDTF">2022-04-26T14:58:00Z</dcterms:created>
  <dcterms:modified xsi:type="dcterms:W3CDTF">2022-04-26T14:58:00Z</dcterms:modified>
</cp:coreProperties>
</file>