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BB3" w:rsidRDefault="002B7BB3" w:rsidP="002B7BB3">
      <w:pPr>
        <w:pStyle w:val="Heading1"/>
      </w:pPr>
      <w:r>
        <w:t xml:space="preserve">Central Tendency White Paper Requirements Specification </w:t>
      </w:r>
    </w:p>
    <w:p w:rsidR="002B7BB3" w:rsidRDefault="002B7BB3" w:rsidP="002B7BB3">
      <w:pPr>
        <w:pStyle w:val="Heading2"/>
      </w:pPr>
      <w:r>
        <w:t>Script</w:t>
      </w:r>
      <w:r w:rsidR="00A81959">
        <w:t>s</w:t>
      </w:r>
      <w:r>
        <w:t xml:space="preserve"> for Output defined in: Figure 7.1 </w:t>
      </w:r>
      <w:r w:rsidRPr="008C0B62">
        <w:t xml:space="preserve">Box Plot – </w:t>
      </w:r>
      <w:r>
        <w:t xml:space="preserve">Observed Values of </w:t>
      </w:r>
      <w:r w:rsidRPr="008C0B62">
        <w:t>xxx Over Time</w:t>
      </w:r>
    </w:p>
    <w:p w:rsidR="002B7BB3" w:rsidRDefault="002B7BB3" w:rsidP="002B7BB3"/>
    <w:p w:rsidR="002B7BB3" w:rsidRDefault="00AB301E" w:rsidP="002B7BB3">
      <w:pPr>
        <w:pStyle w:val="Heading3"/>
      </w:pPr>
      <w:r>
        <w:t xml:space="preserve">Script Specification </w:t>
      </w:r>
    </w:p>
    <w:p w:rsidR="00CA283A" w:rsidRPr="00CA283A" w:rsidRDefault="00CA283A" w:rsidP="00CA283A">
      <w:pPr>
        <w:pStyle w:val="Heading4"/>
      </w:pPr>
      <w:r>
        <w:t xml:space="preserve">Specific Output Requirements </w:t>
      </w:r>
    </w:p>
    <w:p w:rsidR="00CA283A" w:rsidRDefault="00CA283A" w:rsidP="00392925">
      <w:pPr>
        <w:pStyle w:val="ListBullet"/>
        <w:tabs>
          <w:tab w:val="clear" w:pos="360"/>
          <w:tab w:val="num" w:pos="720"/>
        </w:tabs>
      </w:pPr>
      <w:r>
        <w:t>Generates a b</w:t>
      </w:r>
      <w:r w:rsidRPr="00CA283A">
        <w:t>ox</w:t>
      </w:r>
      <w:r>
        <w:t xml:space="preserve"> </w:t>
      </w:r>
      <w:r w:rsidRPr="00CA283A">
        <w:t xml:space="preserve">plot of AVAL by AVISITN and TRTPN. </w:t>
      </w:r>
      <w:r w:rsidR="00F041A7">
        <w:t xml:space="preserve"> </w:t>
      </w:r>
      <w:r w:rsidR="00F041A7" w:rsidRPr="00F041A7">
        <w:rPr>
          <w:color w:val="76923C" w:themeColor="accent3" w:themeShade="BF"/>
        </w:rPr>
        <w:t xml:space="preserve">See domain variations in </w:t>
      </w:r>
      <w:r w:rsidR="00F041A7" w:rsidRPr="00F041A7">
        <w:rPr>
          <w:color w:val="76923C" w:themeColor="accent3" w:themeShade="BF"/>
        </w:rPr>
        <w:fldChar w:fldCharType="begin"/>
      </w:r>
      <w:r w:rsidR="00F041A7" w:rsidRPr="00F041A7">
        <w:rPr>
          <w:color w:val="76923C" w:themeColor="accent3" w:themeShade="BF"/>
        </w:rPr>
        <w:instrText xml:space="preserve"> REF _Ref426383024 \h </w:instrText>
      </w:r>
      <w:r w:rsidR="00F041A7" w:rsidRPr="00F041A7">
        <w:rPr>
          <w:color w:val="76923C" w:themeColor="accent3" w:themeShade="BF"/>
        </w:rPr>
      </w:r>
      <w:r w:rsidR="00F041A7" w:rsidRPr="00F041A7">
        <w:rPr>
          <w:color w:val="76923C" w:themeColor="accent3" w:themeShade="BF"/>
        </w:rPr>
        <w:fldChar w:fldCharType="separate"/>
      </w:r>
      <w:r w:rsidR="00F041A7" w:rsidRPr="00F041A7">
        <w:rPr>
          <w:color w:val="76923C" w:themeColor="accent3" w:themeShade="BF"/>
        </w:rPr>
        <w:t>Usage Requirements</w:t>
      </w:r>
      <w:r w:rsidR="00F041A7" w:rsidRPr="00F041A7">
        <w:rPr>
          <w:color w:val="76923C" w:themeColor="accent3" w:themeShade="BF"/>
        </w:rPr>
        <w:fldChar w:fldCharType="end"/>
      </w:r>
      <w:r w:rsidR="00F041A7" w:rsidRPr="00F041A7">
        <w:rPr>
          <w:color w:val="76923C" w:themeColor="accent3" w:themeShade="BF"/>
        </w:rPr>
        <w:t>, below</w:t>
      </w:r>
    </w:p>
    <w:p w:rsidR="00392925" w:rsidRDefault="00514DD3" w:rsidP="00392925">
      <w:pPr>
        <w:pStyle w:val="ListBullet"/>
        <w:rPr>
          <w:color w:val="FF0000"/>
        </w:rPr>
      </w:pPr>
      <w:commentRangeStart w:id="0"/>
      <w:r w:rsidRPr="00514DD3">
        <w:rPr>
          <w:color w:val="FF0000"/>
        </w:rPr>
        <w:t xml:space="preserve">QUESTION TO THE GROUP: </w:t>
      </w:r>
      <w:r w:rsidR="007A7B22">
        <w:rPr>
          <w:color w:val="FF0000"/>
        </w:rPr>
        <w:t xml:space="preserve">Is this supposed to a </w:t>
      </w:r>
      <w:r w:rsidRPr="00514DD3">
        <w:rPr>
          <w:color w:val="FF0000"/>
        </w:rPr>
        <w:t xml:space="preserve">configurable or hardcoded script? Example: should the 25% / 75% be configurable or hardcoded? </w:t>
      </w:r>
      <w:commentRangeEnd w:id="0"/>
      <w:r w:rsidR="00F041A7">
        <w:rPr>
          <w:rStyle w:val="CommentReference"/>
        </w:rPr>
        <w:commentReference w:id="0"/>
      </w:r>
    </w:p>
    <w:p w:rsidR="00392925" w:rsidRDefault="00392925" w:rsidP="00111872">
      <w:pPr>
        <w:pStyle w:val="ListBullet"/>
        <w:tabs>
          <w:tab w:val="clear" w:pos="360"/>
        </w:tabs>
        <w:rPr>
          <w:color w:val="76923C" w:themeColor="accent3" w:themeShade="BF"/>
        </w:rPr>
      </w:pPr>
      <w:r w:rsidRPr="00392925">
        <w:rPr>
          <w:i/>
          <w:color w:val="76923C" w:themeColor="accent3" w:themeShade="BF"/>
        </w:rPr>
        <w:t>Basic script functionality (user options)</w:t>
      </w:r>
    </w:p>
    <w:p w:rsidR="00111872" w:rsidRDefault="00111872" w:rsidP="00111872">
      <w:pPr>
        <w:pStyle w:val="ListBullet"/>
        <w:tabs>
          <w:tab w:val="clear" w:pos="360"/>
        </w:tabs>
        <w:ind w:left="720"/>
        <w:rPr>
          <w:color w:val="76923C" w:themeColor="accent3" w:themeShade="BF"/>
        </w:rPr>
      </w:pPr>
      <w:r>
        <w:rPr>
          <w:color w:val="76923C" w:themeColor="accent3" w:themeShade="BF"/>
        </w:rPr>
        <w:t xml:space="preserve">parameterize core variables required for analysis &amp; display: </w:t>
      </w:r>
    </w:p>
    <w:p w:rsidR="00111872" w:rsidRDefault="00111872" w:rsidP="00111872">
      <w:pPr>
        <w:pStyle w:val="ListBullet"/>
        <w:tabs>
          <w:tab w:val="clear" w:pos="360"/>
        </w:tabs>
        <w:ind w:left="1080"/>
        <w:rPr>
          <w:color w:val="76923C" w:themeColor="accent3" w:themeShade="BF"/>
        </w:rPr>
      </w:pPr>
      <w:r>
        <w:rPr>
          <w:color w:val="76923C" w:themeColor="accent3" w:themeShade="BF"/>
        </w:rPr>
        <w:t>location and name of each input data sets</w:t>
      </w:r>
    </w:p>
    <w:p w:rsidR="00111872" w:rsidRDefault="00111872" w:rsidP="00111872">
      <w:pPr>
        <w:pStyle w:val="ListBullet"/>
        <w:tabs>
          <w:tab w:val="clear" w:pos="360"/>
        </w:tabs>
        <w:ind w:left="1080"/>
        <w:rPr>
          <w:color w:val="76923C" w:themeColor="accent3" w:themeShade="BF"/>
        </w:rPr>
      </w:pPr>
      <w:r>
        <w:rPr>
          <w:color w:val="76923C" w:themeColor="accent3" w:themeShade="BF"/>
        </w:rPr>
        <w:t>AVAL (measured outcome)</w:t>
      </w:r>
    </w:p>
    <w:p w:rsidR="00111872" w:rsidRDefault="00111872" w:rsidP="00111872">
      <w:pPr>
        <w:pStyle w:val="ListBullet"/>
        <w:tabs>
          <w:tab w:val="clear" w:pos="360"/>
        </w:tabs>
        <w:ind w:left="1080"/>
        <w:rPr>
          <w:color w:val="76923C" w:themeColor="accent3" w:themeShade="BF"/>
        </w:rPr>
      </w:pPr>
      <w:r>
        <w:rPr>
          <w:color w:val="76923C" w:themeColor="accent3" w:themeShade="BF"/>
        </w:rPr>
        <w:t>ANRLO (lower limit of reference range)</w:t>
      </w:r>
    </w:p>
    <w:p w:rsidR="00111872" w:rsidRDefault="00111872" w:rsidP="00111872">
      <w:pPr>
        <w:pStyle w:val="ListBullet"/>
        <w:tabs>
          <w:tab w:val="clear" w:pos="360"/>
        </w:tabs>
        <w:ind w:left="1080"/>
        <w:rPr>
          <w:color w:val="76923C" w:themeColor="accent3" w:themeShade="BF"/>
        </w:rPr>
      </w:pPr>
      <w:r>
        <w:rPr>
          <w:color w:val="76923C" w:themeColor="accent3" w:themeShade="BF"/>
        </w:rPr>
        <w:t>ANRHI (upper limit of reference range)</w:t>
      </w:r>
    </w:p>
    <w:p w:rsidR="00111872" w:rsidRDefault="00111872" w:rsidP="00111872">
      <w:pPr>
        <w:pStyle w:val="ListBullet"/>
        <w:tabs>
          <w:tab w:val="clear" w:pos="360"/>
        </w:tabs>
        <w:ind w:left="1080"/>
        <w:rPr>
          <w:color w:val="76923C" w:themeColor="accent3" w:themeShade="BF"/>
        </w:rPr>
      </w:pPr>
      <w:r>
        <w:rPr>
          <w:color w:val="76923C" w:themeColor="accent3" w:themeShade="BF"/>
        </w:rPr>
        <w:t>SAFFL (population flag)</w:t>
      </w:r>
    </w:p>
    <w:p w:rsidR="00111872" w:rsidRDefault="00111872" w:rsidP="00111872">
      <w:pPr>
        <w:pStyle w:val="ListBullet"/>
        <w:tabs>
          <w:tab w:val="clear" w:pos="360"/>
        </w:tabs>
        <w:ind w:left="1080"/>
        <w:rPr>
          <w:color w:val="76923C" w:themeColor="accent3" w:themeShade="BF"/>
        </w:rPr>
      </w:pPr>
      <w:r>
        <w:rPr>
          <w:color w:val="76923C" w:themeColor="accent3" w:themeShade="BF"/>
        </w:rPr>
        <w:t>ANL01FL (analysis flag)</w:t>
      </w:r>
    </w:p>
    <w:p w:rsidR="00111872" w:rsidRDefault="00111872" w:rsidP="00111872">
      <w:pPr>
        <w:pStyle w:val="ListBullet"/>
        <w:tabs>
          <w:tab w:val="clear" w:pos="360"/>
        </w:tabs>
        <w:ind w:left="1080"/>
        <w:rPr>
          <w:color w:val="76923C" w:themeColor="accent3" w:themeShade="BF"/>
        </w:rPr>
      </w:pPr>
      <w:r>
        <w:rPr>
          <w:color w:val="76923C" w:themeColor="accent3" w:themeShade="BF"/>
        </w:rPr>
        <w:t>maximum number of boxes to display on a page (basic paging control)</w:t>
      </w:r>
    </w:p>
    <w:p w:rsidR="00111872" w:rsidRDefault="00111872" w:rsidP="00111872">
      <w:pPr>
        <w:pStyle w:val="ListBullet"/>
        <w:tabs>
          <w:tab w:val="clear" w:pos="360"/>
        </w:tabs>
        <w:ind w:left="1080"/>
        <w:rPr>
          <w:color w:val="76923C" w:themeColor="accent3" w:themeShade="BF"/>
        </w:rPr>
      </w:pPr>
      <w:r>
        <w:rPr>
          <w:color w:val="76923C" w:themeColor="accent3" w:themeShade="BF"/>
        </w:rPr>
        <w:t>on/off jitter option (to reduce overlap of reference range outliers)</w:t>
      </w:r>
    </w:p>
    <w:p w:rsidR="00111872" w:rsidRDefault="00111872" w:rsidP="00111872">
      <w:pPr>
        <w:pStyle w:val="ListBullet"/>
        <w:tabs>
          <w:tab w:val="clear" w:pos="360"/>
        </w:tabs>
        <w:ind w:left="1080"/>
        <w:rPr>
          <w:color w:val="76923C" w:themeColor="accent3" w:themeShade="BF"/>
        </w:rPr>
      </w:pPr>
      <w:r>
        <w:rPr>
          <w:color w:val="76923C" w:themeColor="accent3" w:themeShade="BF"/>
        </w:rPr>
        <w:t>reference lines option (which to display, based on values found in data)</w:t>
      </w:r>
    </w:p>
    <w:p w:rsidR="00111872" w:rsidRPr="00111872" w:rsidRDefault="00111872" w:rsidP="00111872">
      <w:pPr>
        <w:pStyle w:val="ListBullet"/>
        <w:tabs>
          <w:tab w:val="clear" w:pos="360"/>
        </w:tabs>
        <w:ind w:left="1080"/>
        <w:rPr>
          <w:color w:val="76923C" w:themeColor="accent3" w:themeShade="BF"/>
        </w:rPr>
      </w:pPr>
      <w:r>
        <w:rPr>
          <w:color w:val="76923C" w:themeColor="accent3" w:themeShade="BF"/>
        </w:rPr>
        <w:t>output location (user-specified path)</w:t>
      </w:r>
    </w:p>
    <w:p w:rsidR="00CA283A" w:rsidRPr="00CA283A" w:rsidRDefault="00514DD3" w:rsidP="00CA283A">
      <w:pPr>
        <w:pStyle w:val="ListBullet"/>
      </w:pPr>
      <w:r>
        <w:t>Footnote</w:t>
      </w:r>
      <w:r w:rsidR="00CA283A" w:rsidRPr="00CA283A">
        <w:t>:</w:t>
      </w:r>
    </w:p>
    <w:p w:rsidR="002B7BB3" w:rsidRDefault="00CA283A" w:rsidP="00562C7E">
      <w:pPr>
        <w:pStyle w:val="ListBullet2"/>
      </w:pPr>
      <w:r w:rsidRPr="00CA283A">
        <w:t>Box plot type=schematic, the box shows median, interquartile range (IQR, edge of the bar), min and max</w:t>
      </w:r>
      <w:r w:rsidR="00514DD3">
        <w:t xml:space="preserve"> </w:t>
      </w:r>
      <w:r w:rsidRPr="00CA283A">
        <w:t>within 1.5 IQR below 25% and above 75% (ends of the whisker). Values outside the 1.5 IQR below 25% and</w:t>
      </w:r>
      <w:r w:rsidR="00514DD3">
        <w:t xml:space="preserve"> </w:t>
      </w:r>
      <w:r w:rsidRPr="00CA283A">
        <w:t>above 75% are shown as outliers. Means plotted as different symbols by treatments</w:t>
      </w:r>
    </w:p>
    <w:p w:rsidR="00562C7E" w:rsidRPr="00562C7E" w:rsidRDefault="00562C7E" w:rsidP="00562C7E"/>
    <w:p w:rsidR="00CA283A" w:rsidRDefault="00CA283A" w:rsidP="00CA283A">
      <w:pPr>
        <w:pStyle w:val="Heading4"/>
        <w:rPr>
          <w:rFonts w:eastAsia="Times New Roman"/>
        </w:rPr>
      </w:pPr>
      <w:r w:rsidRPr="00CA283A">
        <w:rPr>
          <w:rFonts w:eastAsia="Times New Roman"/>
        </w:rPr>
        <w:t xml:space="preserve">General </w:t>
      </w:r>
      <w:r>
        <w:rPr>
          <w:rFonts w:eastAsia="Times New Roman"/>
        </w:rPr>
        <w:t>Output and Formatting</w:t>
      </w:r>
      <w:r w:rsidRPr="00CA283A">
        <w:rPr>
          <w:rFonts w:eastAsia="Times New Roman"/>
        </w:rPr>
        <w:t xml:space="preserve"> </w:t>
      </w:r>
      <w:r>
        <w:rPr>
          <w:rFonts w:eastAsia="Times New Roman"/>
        </w:rPr>
        <w:t xml:space="preserve">Requirements </w:t>
      </w:r>
    </w:p>
    <w:p w:rsidR="00CA283A" w:rsidRDefault="00CA283A" w:rsidP="00CA283A">
      <w:r>
        <w:t>NOTE: These might or might not apply to the specific o</w:t>
      </w:r>
      <w:r w:rsidR="00392925">
        <w:t>utput or feature of the script.</w:t>
      </w:r>
    </w:p>
    <w:p w:rsidR="00392925" w:rsidRDefault="00392925" w:rsidP="00CA283A">
      <w:pPr>
        <w:rPr>
          <w:b/>
          <w:color w:val="76923C" w:themeColor="accent3" w:themeShade="BF"/>
        </w:rPr>
      </w:pPr>
      <w:r w:rsidRPr="00392925">
        <w:rPr>
          <w:b/>
          <w:color w:val="76923C" w:themeColor="accent3" w:themeShade="BF"/>
        </w:rPr>
        <w:t>[DDT]</w:t>
      </w:r>
      <w:r>
        <w:rPr>
          <w:b/>
          <w:color w:val="76923C" w:themeColor="accent3" w:themeShade="BF"/>
        </w:rPr>
        <w:t xml:space="preserve"> Suggestion:</w:t>
      </w:r>
    </w:p>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t>Move all general requirements to a "CSS Standard Analyses General Output and For</w:t>
      </w:r>
      <w:r>
        <w:rPr>
          <w:b/>
          <w:color w:val="76923C" w:themeColor="accent3" w:themeShade="BF"/>
        </w:rPr>
        <w:t>matting Requirements" document.</w:t>
      </w:r>
    </w:p>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lastRenderedPageBreak/>
        <w:t>Move</w:t>
      </w:r>
      <w:r>
        <w:rPr>
          <w:b/>
          <w:color w:val="76923C" w:themeColor="accent3" w:themeShade="BF"/>
        </w:rPr>
        <w:t xml:space="preserve"> all "Central Tendency" requirements to a "Output and Formatting Requirements" section of the CT white paper</w:t>
      </w:r>
    </w:p>
    <w:p w:rsidR="00392925" w:rsidRPr="00392925" w:rsidRDefault="00392925" w:rsidP="00392925">
      <w:pPr>
        <w:pStyle w:val="ListParagraph"/>
        <w:numPr>
          <w:ilvl w:val="0"/>
          <w:numId w:val="14"/>
        </w:numPr>
        <w:rPr>
          <w:b/>
          <w:color w:val="76923C" w:themeColor="accent3" w:themeShade="BF"/>
        </w:rPr>
      </w:pPr>
      <w:r>
        <w:rPr>
          <w:b/>
          <w:color w:val="76923C" w:themeColor="accent3" w:themeShade="BF"/>
        </w:rPr>
        <w:t>Keep only target-specific requirements in this document</w:t>
      </w:r>
    </w:p>
    <w:p w:rsidR="00CA283A" w:rsidRPr="00CA283A" w:rsidRDefault="00CA283A" w:rsidP="00CA283A">
      <w:pPr>
        <w:pStyle w:val="ListBullet"/>
      </w:pPr>
      <w:r w:rsidRPr="00CA283A">
        <w:t>The page margins used in this document mirror the margins required for US regulatory submissions. TFL fits within 9.25” x 6” common text area.</w:t>
      </w:r>
    </w:p>
    <w:p w:rsidR="00CA283A" w:rsidRPr="00CA283A" w:rsidRDefault="00CA283A" w:rsidP="00CA283A">
      <w:pPr>
        <w:pStyle w:val="ListBullet"/>
      </w:pPr>
      <w:r w:rsidRPr="00CA283A">
        <w:t>This document contains generic titles and footnotes to aid review.</w:t>
      </w:r>
    </w:p>
    <w:p w:rsidR="00CA283A" w:rsidRPr="00CA283A" w:rsidRDefault="00CA283A" w:rsidP="00CA283A">
      <w:pPr>
        <w:pStyle w:val="ListBullet"/>
      </w:pPr>
      <w:r w:rsidRPr="00CA283A">
        <w:t>Titles must be centered.</w:t>
      </w:r>
    </w:p>
    <w:p w:rsidR="00CA283A" w:rsidRPr="00CA283A" w:rsidRDefault="00CA283A" w:rsidP="00CA283A">
      <w:pPr>
        <w:pStyle w:val="ListBullet"/>
      </w:pPr>
      <w:r w:rsidRPr="00CA283A">
        <w:t>Footnotes must be left justified</w:t>
      </w:r>
    </w:p>
    <w:p w:rsidR="00CA283A" w:rsidRPr="00CA283A" w:rsidRDefault="00CA283A" w:rsidP="00CA283A">
      <w:pPr>
        <w:pStyle w:val="ListBullet"/>
      </w:pPr>
      <w:r w:rsidRPr="00CA283A">
        <w:t>Placeholders for the program, output, date generated, and source data footnotes do not need to be displayed for each shell but will be produced for each TFL consistent with the standard macro output.</w:t>
      </w:r>
    </w:p>
    <w:p w:rsidR="00CA283A" w:rsidRPr="00CA283A" w:rsidRDefault="00CA283A" w:rsidP="00CA283A">
      <w:pPr>
        <w:pStyle w:val="ListBullet"/>
      </w:pPr>
      <w:r w:rsidRPr="00CA283A">
        <w:t>P-values should follow the formats below (these guidelines align with medical journal requirements):</w:t>
      </w:r>
    </w:p>
    <w:p w:rsidR="00CA283A" w:rsidRPr="00CA283A" w:rsidRDefault="00CA283A" w:rsidP="00CA283A">
      <w:pPr>
        <w:pStyle w:val="ListBullet"/>
      </w:pPr>
      <w:r w:rsidRPr="00CA283A">
        <w:t>For p &gt; 0.1, report the p-value to 2 decimal places</w:t>
      </w:r>
    </w:p>
    <w:p w:rsidR="00CA283A" w:rsidRPr="00CA283A" w:rsidRDefault="00CA283A" w:rsidP="00CA283A">
      <w:pPr>
        <w:pStyle w:val="ListBullet"/>
      </w:pPr>
      <w:r w:rsidRPr="00CA283A">
        <w:t>For 0.1 &gt; p &gt; 0.001, report the p-value to 3 decimal places</w:t>
      </w:r>
    </w:p>
    <w:p w:rsidR="00CA283A" w:rsidRPr="00CA283A" w:rsidRDefault="00CA283A" w:rsidP="00CA283A">
      <w:pPr>
        <w:pStyle w:val="ListBullet"/>
      </w:pPr>
      <w:r w:rsidRPr="00CA283A">
        <w:t>For p &lt; 0.001, report p &lt; 0.001.</w:t>
      </w:r>
    </w:p>
    <w:p w:rsidR="00CA283A" w:rsidRPr="00CA283A" w:rsidRDefault="00CA283A" w:rsidP="00CA283A">
      <w:pPr>
        <w:pStyle w:val="ListBullet"/>
      </w:pPr>
      <w:r w:rsidRPr="00CA283A">
        <w:t>Decimal places for continuous data summaries should follow these guidelines:</w:t>
      </w:r>
    </w:p>
    <w:p w:rsidR="00CA283A" w:rsidRPr="00CA283A" w:rsidRDefault="00CA283A" w:rsidP="00CA283A">
      <w:pPr>
        <w:pStyle w:val="ListBullet"/>
      </w:pPr>
      <w:r w:rsidRPr="00CA283A">
        <w:t>The mean and estimates of precision (e</w:t>
      </w:r>
      <w:r>
        <w:t>.</w:t>
      </w:r>
      <w:r w:rsidRPr="00CA283A">
        <w:t>g</w:t>
      </w:r>
      <w:r>
        <w:t>.</w:t>
      </w:r>
      <w:r w:rsidRPr="00CA283A">
        <w:t>, variance, SD, SE, Confidence Intervals) should be displayed to 1 more decimal place than the collected data as should distributional parameters (eg, Q1, Q3) except the Minimum and Maximum which are to presented to the same decimal places as the collected data.</w:t>
      </w:r>
    </w:p>
    <w:p w:rsidR="00CA283A" w:rsidRPr="00CA283A" w:rsidRDefault="00CA283A" w:rsidP="00CA283A">
      <w:pPr>
        <w:pStyle w:val="ListBullet"/>
      </w:pPr>
      <w:r w:rsidRPr="00CA283A">
        <w:t>Percentages are to be displayed to at least one decimal place.</w:t>
      </w:r>
    </w:p>
    <w:p w:rsidR="00CA283A" w:rsidRPr="00CA283A" w:rsidRDefault="00CA283A" w:rsidP="00CA283A">
      <w:pPr>
        <w:pStyle w:val="ListBullet"/>
      </w:pPr>
      <w:r w:rsidRPr="00CA283A">
        <w:t>All tables summarizing baseline data must include a “total” column for studies with more than 1 arm.</w:t>
      </w:r>
    </w:p>
    <w:p w:rsidR="00CA283A" w:rsidRDefault="00CA283A" w:rsidP="00D17F3E">
      <w:pPr>
        <w:pStyle w:val="Heading3"/>
      </w:pPr>
    </w:p>
    <w:p w:rsidR="00D17F3E" w:rsidRDefault="00AB301E" w:rsidP="00D17F3E">
      <w:pPr>
        <w:pStyle w:val="Heading3"/>
      </w:pPr>
      <w:bookmarkStart w:id="1" w:name="_Ref426383024"/>
      <w:r>
        <w:t xml:space="preserve">Usage </w:t>
      </w:r>
      <w:r w:rsidR="00D17F3E">
        <w:t>Requirements</w:t>
      </w:r>
      <w:bookmarkEnd w:id="1"/>
      <w:r w:rsidR="00D17F3E">
        <w:t xml:space="preserve"> </w:t>
      </w:r>
    </w:p>
    <w:p w:rsidR="00194FD0" w:rsidRDefault="00194FD0" w:rsidP="00D17F3E">
      <w:pPr>
        <w:pStyle w:val="Heading4"/>
      </w:pPr>
      <w:r>
        <w:t>Required Input</w:t>
      </w:r>
    </w:p>
    <w:p w:rsidR="00194FD0" w:rsidRPr="00194FD0" w:rsidRDefault="00194FD0" w:rsidP="00392925">
      <w:pPr>
        <w:pStyle w:val="ListBullet"/>
        <w:tabs>
          <w:tab w:val="clear" w:pos="360"/>
          <w:tab w:val="num" w:pos="1080"/>
        </w:tabs>
        <w:ind w:left="720"/>
        <w:rPr>
          <w:color w:val="333333"/>
          <w:szCs w:val="18"/>
        </w:rPr>
      </w:pPr>
      <w:r w:rsidRPr="00194FD0">
        <w:t>Dataset-1:</w:t>
      </w:r>
      <w:r w:rsidRPr="00194FD0">
        <w:rPr>
          <w:color w:val="183691"/>
        </w:rPr>
        <w:t xml:space="preserve"> ADSL</w:t>
      </w:r>
      <w:r w:rsidR="003540C9">
        <w:rPr>
          <w:color w:val="183691"/>
        </w:rPr>
        <w:t xml:space="preserve"> </w:t>
      </w:r>
    </w:p>
    <w:p w:rsidR="00194FD0" w:rsidRPr="00194FD0" w:rsidRDefault="00194FD0" w:rsidP="00392925">
      <w:pPr>
        <w:pStyle w:val="ListBullet2"/>
        <w:tabs>
          <w:tab w:val="clear" w:pos="720"/>
          <w:tab w:val="num" w:pos="1440"/>
        </w:tabs>
        <w:ind w:left="108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TRT01P</w:t>
      </w:r>
      <w:r>
        <w:rPr>
          <w:color w:val="183691"/>
        </w:rPr>
        <w:t>,</w:t>
      </w:r>
      <w:r w:rsidRPr="00194FD0">
        <w:rPr>
          <w:color w:val="183691"/>
        </w:rPr>
        <w:t xml:space="preserve"> TRT01PN</w:t>
      </w:r>
    </w:p>
    <w:p w:rsidR="00392925" w:rsidRPr="00392925" w:rsidRDefault="00392925" w:rsidP="00392925">
      <w:pPr>
        <w:pStyle w:val="Heading5"/>
        <w:ind w:left="360"/>
        <w:rPr>
          <w:color w:val="76923C" w:themeColor="accent3" w:themeShade="BF"/>
        </w:rPr>
      </w:pPr>
      <w:r w:rsidRPr="00392925">
        <w:rPr>
          <w:color w:val="76923C" w:themeColor="accent3" w:themeShade="BF"/>
        </w:rPr>
        <w:t>Vital Signs Domain</w:t>
      </w:r>
    </w:p>
    <w:p w:rsidR="00194FD0" w:rsidRPr="00194FD0" w:rsidRDefault="00194FD0" w:rsidP="00392925">
      <w:pPr>
        <w:pStyle w:val="ListBullet"/>
        <w:tabs>
          <w:tab w:val="clear" w:pos="360"/>
          <w:tab w:val="num" w:pos="1080"/>
        </w:tabs>
        <w:ind w:left="1080"/>
        <w:rPr>
          <w:color w:val="333333"/>
          <w:szCs w:val="18"/>
        </w:rPr>
      </w:pPr>
      <w:r w:rsidRPr="00194FD0">
        <w:rPr>
          <w:color w:val="333333"/>
          <w:szCs w:val="18"/>
        </w:rPr>
        <w:t xml:space="preserve"> </w:t>
      </w:r>
      <w:r w:rsidRPr="00194FD0">
        <w:t>Dataset-2:</w:t>
      </w:r>
      <w:r w:rsidRPr="00194FD0">
        <w:rPr>
          <w:color w:val="183691"/>
        </w:rPr>
        <w:t xml:space="preserve"> ADVS</w:t>
      </w:r>
      <w:r w:rsidR="003540C9">
        <w:rPr>
          <w:color w:val="183691"/>
        </w:rPr>
        <w:t xml:space="preserve"> </w:t>
      </w:r>
    </w:p>
    <w:p w:rsidR="00194FD0" w:rsidRPr="007A7B22" w:rsidRDefault="00194FD0" w:rsidP="00392925">
      <w:pPr>
        <w:pStyle w:val="ListBullet2"/>
        <w:tabs>
          <w:tab w:val="clear" w:pos="720"/>
          <w:tab w:val="num" w:pos="1440"/>
        </w:tabs>
        <w:ind w:left="144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ANL01FL</w:t>
      </w:r>
      <w:r>
        <w:rPr>
          <w:color w:val="183691"/>
        </w:rPr>
        <w:t>,</w:t>
      </w:r>
      <w:r w:rsidRPr="00194FD0">
        <w:rPr>
          <w:color w:val="183691"/>
        </w:rPr>
        <w:t xml:space="preserve"> TRTP</w:t>
      </w:r>
      <w:r>
        <w:rPr>
          <w:color w:val="183691"/>
        </w:rPr>
        <w:t>,</w:t>
      </w:r>
      <w:r w:rsidRPr="00194FD0">
        <w:rPr>
          <w:color w:val="183691"/>
        </w:rPr>
        <w:t xml:space="preserve"> TRTPN</w:t>
      </w:r>
      <w:r>
        <w:rPr>
          <w:color w:val="183691"/>
        </w:rPr>
        <w:t>,</w:t>
      </w:r>
      <w:r w:rsidRPr="00194FD0">
        <w:rPr>
          <w:color w:val="183691"/>
        </w:rPr>
        <w:t xml:space="preserve"> PARAM</w:t>
      </w:r>
      <w:r>
        <w:rPr>
          <w:color w:val="183691"/>
        </w:rPr>
        <w:t>,</w:t>
      </w:r>
      <w:r w:rsidRPr="00194FD0">
        <w:rPr>
          <w:color w:val="183691"/>
        </w:rPr>
        <w:t xml:space="preserve"> PARAMCD</w:t>
      </w:r>
      <w:r>
        <w:rPr>
          <w:color w:val="183691"/>
        </w:rPr>
        <w:t>,</w:t>
      </w:r>
      <w:r w:rsidRPr="00194FD0">
        <w:rPr>
          <w:color w:val="183691"/>
        </w:rPr>
        <w:t xml:space="preserve"> AVAL</w:t>
      </w:r>
      <w:r>
        <w:rPr>
          <w:color w:val="183691"/>
        </w:rPr>
        <w:t>,</w:t>
      </w:r>
      <w:r w:rsidRPr="00194FD0">
        <w:rPr>
          <w:color w:val="183691"/>
        </w:rPr>
        <w:t xml:space="preserve"> ANRLO</w:t>
      </w:r>
      <w:r>
        <w:rPr>
          <w:color w:val="183691"/>
        </w:rPr>
        <w:t>,</w:t>
      </w:r>
      <w:r w:rsidRPr="00194FD0">
        <w:rPr>
          <w:color w:val="183691"/>
        </w:rPr>
        <w:t xml:space="preserve"> ANRHI</w:t>
      </w:r>
      <w:r>
        <w:rPr>
          <w:color w:val="183691"/>
        </w:rPr>
        <w:t>,</w:t>
      </w:r>
      <w:r w:rsidRPr="00194FD0">
        <w:rPr>
          <w:color w:val="183691"/>
        </w:rPr>
        <w:t xml:space="preserve"> AVISIT</w:t>
      </w:r>
      <w:r>
        <w:rPr>
          <w:color w:val="183691"/>
        </w:rPr>
        <w:t>,</w:t>
      </w:r>
      <w:r w:rsidRPr="00194FD0">
        <w:rPr>
          <w:color w:val="183691"/>
        </w:rPr>
        <w:t xml:space="preserve"> AVISITN</w:t>
      </w:r>
      <w:r>
        <w:rPr>
          <w:color w:val="183691"/>
        </w:rPr>
        <w:t>,</w:t>
      </w:r>
      <w:r w:rsidRPr="00194FD0">
        <w:rPr>
          <w:color w:val="183691"/>
        </w:rPr>
        <w:t xml:space="preserve"> ATPT</w:t>
      </w:r>
      <w:r>
        <w:rPr>
          <w:color w:val="183691"/>
        </w:rPr>
        <w:t>,</w:t>
      </w:r>
      <w:r w:rsidRPr="00194FD0">
        <w:rPr>
          <w:color w:val="183691"/>
        </w:rPr>
        <w:t xml:space="preserve"> ATPTN</w:t>
      </w:r>
    </w:p>
    <w:p w:rsidR="007A7B22" w:rsidRPr="00194FD0" w:rsidRDefault="007A7B22" w:rsidP="00392925">
      <w:pPr>
        <w:pStyle w:val="ListBullet2"/>
        <w:tabs>
          <w:tab w:val="clear" w:pos="720"/>
          <w:tab w:val="num" w:pos="1440"/>
        </w:tabs>
        <w:ind w:left="1440"/>
        <w:rPr>
          <w:color w:val="333333"/>
          <w:szCs w:val="18"/>
        </w:rPr>
      </w:pPr>
      <w:r>
        <w:t>Record selection:</w:t>
      </w:r>
      <w:r w:rsidR="003540C9" w:rsidRPr="003540C9">
        <w:rPr>
          <w:rFonts w:ascii="Consolas" w:hAnsi="Consolas" w:cs="Consolas"/>
          <w:color w:val="183691"/>
          <w:sz w:val="18"/>
          <w:szCs w:val="18"/>
          <w:shd w:val="clear" w:color="auto" w:fill="FFFFFF"/>
        </w:rPr>
        <w:t xml:space="preserve"> </w:t>
      </w:r>
      <w:r w:rsidR="003540C9">
        <w:rPr>
          <w:rFonts w:ascii="Consolas" w:hAnsi="Consolas" w:cs="Consolas"/>
          <w:color w:val="183691"/>
          <w:sz w:val="18"/>
          <w:szCs w:val="18"/>
          <w:shd w:val="clear" w:color="auto" w:fill="FFFFFF"/>
        </w:rPr>
        <w:t>SAFFL='Y' and ANL01FL='Y'</w:t>
      </w:r>
    </w:p>
    <w:p w:rsidR="00392925" w:rsidRPr="00392925" w:rsidRDefault="00392925" w:rsidP="00392925">
      <w:pPr>
        <w:pStyle w:val="Heading5"/>
        <w:ind w:left="360"/>
        <w:rPr>
          <w:color w:val="76923C" w:themeColor="accent3" w:themeShade="BF"/>
        </w:rPr>
      </w:pPr>
      <w:r w:rsidRPr="00392925">
        <w:rPr>
          <w:color w:val="76923C" w:themeColor="accent3" w:themeShade="BF"/>
        </w:rPr>
        <w:t>Laboratory Domain</w:t>
      </w:r>
    </w:p>
    <w:p w:rsidR="00392925" w:rsidRPr="00392925" w:rsidRDefault="00392925" w:rsidP="00392925">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AD</w:t>
      </w:r>
      <w:r w:rsidR="00E61890">
        <w:rPr>
          <w:color w:val="76923C" w:themeColor="accent3" w:themeShade="BF"/>
        </w:rPr>
        <w:t>LBC or ADLBH or ADLBHY?</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lastRenderedPageBreak/>
        <w:t>Variables: STUDYID, USUBJID, SAFFL, ANL01FL, TRTP, TRTPN, PARAM, PARAMCD, AVAL, A</w:t>
      </w:r>
      <w:r w:rsidRPr="00392925">
        <w:rPr>
          <w:color w:val="C00000"/>
        </w:rPr>
        <w:t>1</w:t>
      </w:r>
      <w:r w:rsidRPr="00392925">
        <w:rPr>
          <w:color w:val="76923C" w:themeColor="accent3" w:themeShade="BF"/>
        </w:rPr>
        <w:t>LO, A</w:t>
      </w:r>
      <w:r w:rsidRPr="00392925">
        <w:rPr>
          <w:color w:val="C00000"/>
        </w:rPr>
        <w:t>1</w:t>
      </w:r>
      <w:r w:rsidRPr="00392925">
        <w:rPr>
          <w:color w:val="76923C" w:themeColor="accent3" w:themeShade="BF"/>
        </w:rPr>
        <w:t>HI, AVISIT, AVISITN</w:t>
      </w:r>
      <w:r w:rsidRPr="00392925">
        <w:rPr>
          <w:strike/>
          <w:color w:val="76923C" w:themeColor="accent3" w:themeShade="BF"/>
        </w:rPr>
        <w:t>, ATPT, ATPTN</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sidRPr="00392925">
        <w:rPr>
          <w:rFonts w:ascii="Consolas" w:hAnsi="Consolas" w:cs="Consolas"/>
          <w:color w:val="76923C" w:themeColor="accent3" w:themeShade="BF"/>
          <w:sz w:val="18"/>
          <w:szCs w:val="18"/>
          <w:shd w:val="clear" w:color="auto" w:fill="FFFFFF"/>
        </w:rPr>
        <w:t xml:space="preserve"> SAFFL='Y' and ANL01FL='Y'</w:t>
      </w:r>
    </w:p>
    <w:p w:rsidR="001C4301" w:rsidRPr="00392925" w:rsidRDefault="001C4301" w:rsidP="001C4301">
      <w:pPr>
        <w:pStyle w:val="Heading5"/>
        <w:ind w:left="360"/>
        <w:rPr>
          <w:color w:val="76923C" w:themeColor="accent3" w:themeShade="BF"/>
        </w:rPr>
      </w:pPr>
      <w:r>
        <w:rPr>
          <w:color w:val="76923C" w:themeColor="accent3" w:themeShade="BF"/>
        </w:rPr>
        <w:t>ECG</w:t>
      </w:r>
      <w:r w:rsidRPr="00392925">
        <w:rPr>
          <w:color w:val="76923C" w:themeColor="accent3" w:themeShade="BF"/>
        </w:rPr>
        <w:t xml:space="preserve"> Domain</w:t>
      </w:r>
    </w:p>
    <w:p w:rsidR="001C4301" w:rsidRPr="00392925" w:rsidRDefault="001C4301" w:rsidP="001C4301">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 xml:space="preserve">Variables: </w:t>
      </w:r>
      <w:r>
        <w:rPr>
          <w:color w:val="76923C" w:themeColor="accent3" w:themeShade="BF"/>
        </w:rPr>
        <w:t>???</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Pr>
          <w:rFonts w:ascii="Consolas" w:hAnsi="Consolas" w:cs="Consolas"/>
          <w:color w:val="76923C" w:themeColor="accent3" w:themeShade="BF"/>
          <w:sz w:val="18"/>
          <w:szCs w:val="18"/>
          <w:shd w:val="clear" w:color="auto" w:fill="FFFFFF"/>
        </w:rPr>
        <w:t xml:space="preserve"> ???</w:t>
      </w:r>
    </w:p>
    <w:p w:rsidR="00D17F3E" w:rsidRDefault="00D17F3E" w:rsidP="00D17F3E">
      <w:pPr>
        <w:pStyle w:val="Heading4"/>
      </w:pPr>
      <w:r>
        <w:t>Macros</w:t>
      </w:r>
    </w:p>
    <w:p w:rsidR="00AB301E" w:rsidRDefault="00AB301E" w:rsidP="00D17F3E">
      <w:pPr>
        <w:pStyle w:val="ListBullet"/>
      </w:pPr>
      <w:r>
        <w:t xml:space="preserve">Requires the </w:t>
      </w:r>
      <w:r w:rsidR="00D17F3E" w:rsidRPr="00D17F3E">
        <w:t xml:space="preserve">PhUSE/CSS macro </w:t>
      </w:r>
      <w:r>
        <w:t>library</w:t>
      </w:r>
      <w:r w:rsidR="00D17F3E" w:rsidRPr="00D17F3E">
        <w:t>:</w:t>
      </w:r>
      <w:r>
        <w:t xml:space="preserve"> </w:t>
      </w:r>
      <w:r>
        <w:br/>
        <w:t xml:space="preserve"> </w:t>
      </w:r>
      <w:hyperlink r:id="rId10" w:history="1">
        <w:r w:rsidRPr="00865075">
          <w:rPr>
            <w:rStyle w:val="Hyperlink"/>
          </w:rPr>
          <w:t>https://github.com/phuse-org/phuse-scripts/tree/master/whitepapers/utilities</w:t>
        </w:r>
      </w:hyperlink>
      <w:r>
        <w:t xml:space="preserve"> </w:t>
      </w:r>
    </w:p>
    <w:p w:rsidR="00D17F3E" w:rsidRPr="00D17F3E" w:rsidRDefault="00D17F3E" w:rsidP="00D17F3E">
      <w:pPr>
        <w:pStyle w:val="ListBullet"/>
      </w:pPr>
      <w:r w:rsidRPr="00D17F3E">
        <w:t>User must ensure that SAS can find PhUSE/CSS macros in the SASAUTO</w:t>
      </w:r>
      <w:r w:rsidR="00AB301E">
        <w:t xml:space="preserve">S path </w:t>
      </w:r>
    </w:p>
    <w:p w:rsidR="00194FD0" w:rsidRDefault="00194FD0" w:rsidP="002B7BB3">
      <w:pPr>
        <w:pStyle w:val="Heading3"/>
      </w:pPr>
      <w:r>
        <w:t>Test Data</w:t>
      </w:r>
    </w:p>
    <w:p w:rsidR="00194FD0" w:rsidRPr="00662A4B" w:rsidRDefault="00D17F3E" w:rsidP="00D17F3E">
      <w:pPr>
        <w:pStyle w:val="ListParagraph"/>
        <w:numPr>
          <w:ilvl w:val="0"/>
          <w:numId w:val="11"/>
        </w:numPr>
        <w:rPr>
          <w:rStyle w:val="Hyperlink"/>
          <w:color w:val="auto"/>
          <w:u w:val="none"/>
        </w:rPr>
      </w:pPr>
      <w:r>
        <w:t>Data</w:t>
      </w:r>
      <w:r w:rsidR="00392925">
        <w:t xml:space="preserve"> </w:t>
      </w:r>
      <w:r>
        <w:t>set</w:t>
      </w:r>
      <w:r w:rsidR="00392925">
        <w:t>s</w:t>
      </w:r>
      <w:r>
        <w:t xml:space="preserve"> </w:t>
      </w:r>
      <w:r w:rsidR="00662A4B">
        <w:t>f</w:t>
      </w:r>
      <w:r>
        <w:t xml:space="preserve">rom </w:t>
      </w:r>
      <w:hyperlink r:id="rId11" w:history="1">
        <w:r w:rsidRPr="00865075">
          <w:rPr>
            <w:rStyle w:val="Hyperlink"/>
          </w:rPr>
          <w:t>https://github.com/phuse-org/phuse-scripts/tree/master/scriptathon2014/data</w:t>
        </w:r>
      </w:hyperlink>
    </w:p>
    <w:p w:rsidR="00662A4B" w:rsidRDefault="00662A4B" w:rsidP="00662A4B">
      <w:pPr>
        <w:pStyle w:val="ListParagraph"/>
        <w:numPr>
          <w:ilvl w:val="0"/>
          <w:numId w:val="11"/>
        </w:numPr>
        <w:rPr>
          <w:color w:val="76923C" w:themeColor="accent3" w:themeShade="BF"/>
        </w:rPr>
      </w:pPr>
      <w:r w:rsidRPr="00662A4B">
        <w:rPr>
          <w:color w:val="76923C" w:themeColor="accent3" w:themeShade="BF"/>
        </w:rPr>
        <w:t>ADSL – Subject-level data</w:t>
      </w:r>
    </w:p>
    <w:p w:rsidR="00662A4B" w:rsidRPr="00662A4B" w:rsidRDefault="00662A4B" w:rsidP="00662A4B">
      <w:pPr>
        <w:pStyle w:val="ListParagraph"/>
        <w:numPr>
          <w:ilvl w:val="0"/>
          <w:numId w:val="11"/>
        </w:numPr>
        <w:rPr>
          <w:color w:val="76923C" w:themeColor="accent3" w:themeShade="BF"/>
        </w:rPr>
      </w:pPr>
      <w:r w:rsidRPr="00662A4B">
        <w:rPr>
          <w:color w:val="76923C" w:themeColor="accent3" w:themeShade="BF"/>
        </w:rPr>
        <w:t>Domain data</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Vital Signs Domain</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ADVS</w:t>
      </w:r>
      <w:r>
        <w:rPr>
          <w:color w:val="76923C" w:themeColor="accent3" w:themeShade="BF"/>
        </w:rPr>
        <w:t xml:space="preserve"> – Vital signs</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ADLBC, ADLBH, ADLBHY</w:t>
      </w:r>
      <w:r>
        <w:rPr>
          <w:color w:val="76923C" w:themeColor="accent3" w:themeShade="BF"/>
        </w:rPr>
        <w:t xml:space="preserve"> – Laboratory measures</w:t>
      </w:r>
    </w:p>
    <w:p w:rsidR="00662A4B" w:rsidRPr="00662A4B" w:rsidRDefault="00662A4B" w:rsidP="00662A4B">
      <w:pPr>
        <w:pStyle w:val="ListParagraph"/>
        <w:numPr>
          <w:ilvl w:val="1"/>
          <w:numId w:val="11"/>
        </w:numPr>
        <w:rPr>
          <w:color w:val="76923C" w:themeColor="accent3" w:themeShade="BF"/>
        </w:rPr>
      </w:pPr>
      <w:r>
        <w:rPr>
          <w:color w:val="76923C" w:themeColor="accent3" w:themeShade="BF"/>
        </w:rPr>
        <w:t>??? – ECG measures</w:t>
      </w:r>
      <w:bookmarkStart w:id="2" w:name="_GoBack"/>
      <w:bookmarkEnd w:id="2"/>
    </w:p>
    <w:p w:rsidR="006E719E" w:rsidRDefault="006E719E" w:rsidP="002B7BB3">
      <w:pPr>
        <w:pStyle w:val="Heading3"/>
      </w:pPr>
      <w:r>
        <w:lastRenderedPageBreak/>
        <w:t>Sample Output</w:t>
      </w:r>
    </w:p>
    <w:p w:rsidR="006E719E" w:rsidRPr="006E719E" w:rsidRDefault="006E719E" w:rsidP="006E719E">
      <w:r w:rsidRPr="006E719E">
        <w:rPr>
          <w:noProof/>
        </w:rPr>
        <w:drawing>
          <wp:inline distT="0" distB="0" distL="0" distR="0">
            <wp:extent cx="5943600" cy="4528185"/>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4528185"/>
                    </a:xfrm>
                    <a:prstGeom prst="rect">
                      <a:avLst/>
                    </a:prstGeom>
                  </pic:spPr>
                </pic:pic>
              </a:graphicData>
            </a:graphic>
          </wp:inline>
        </w:drawing>
      </w:r>
    </w:p>
    <w:p w:rsidR="002B7BB3" w:rsidRDefault="006E719E" w:rsidP="002B7BB3">
      <w:pPr>
        <w:pStyle w:val="Heading3"/>
      </w:pPr>
      <w:r>
        <w:t>Reference Documents</w:t>
      </w:r>
      <w:r w:rsidR="002B7BB3">
        <w:t>:</w:t>
      </w:r>
    </w:p>
    <w:p w:rsidR="002B7BB3" w:rsidRDefault="002B7BB3" w:rsidP="002B7BB3">
      <w:r>
        <w:t xml:space="preserve">White paper: </w:t>
      </w:r>
      <w:hyperlink r:id="rId13" w:history="1">
        <w:r w:rsidRPr="00865075">
          <w:rPr>
            <w:rStyle w:val="Hyperlink"/>
          </w:rPr>
          <w:t>http://www.phusewiki.org/wiki/images/4/48/CSS_WhitePaper_CentralTendency_v1.0.pdf</w:t>
        </w:r>
      </w:hyperlink>
      <w:r>
        <w:t xml:space="preserve"> </w:t>
      </w:r>
    </w:p>
    <w:p w:rsidR="00AB301E" w:rsidRPr="002B7BB3" w:rsidRDefault="003540C9" w:rsidP="002B7BB3">
      <w:r>
        <w:t xml:space="preserve">Programming Guidelines: </w:t>
      </w:r>
      <w:hyperlink r:id="rId14" w:history="1">
        <w:r w:rsidRPr="00A86328">
          <w:rPr>
            <w:rStyle w:val="Hyperlink"/>
          </w:rPr>
          <w:t>http://www.phusewiki.org/wiki/index.php?title=WG5_P02_Programming_Guidelines</w:t>
        </w:r>
      </w:hyperlink>
      <w:r>
        <w:t xml:space="preserve"> </w:t>
      </w:r>
    </w:p>
    <w:sectPr w:rsidR="00AB301E" w:rsidRPr="002B7BB3" w:rsidSect="000471FE">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 Tommaso, Dante" w:date="2015-08-03T16:36:00Z" w:initials="DDT">
    <w:p w:rsidR="00F041A7" w:rsidRDefault="00F041A7">
      <w:pPr>
        <w:pStyle w:val="CommentText"/>
      </w:pPr>
      <w:r>
        <w:rPr>
          <w:rStyle w:val="CommentReference"/>
        </w:rPr>
        <w:annotationRef/>
      </w:r>
      <w:r>
        <w:rPr>
          <w:rStyle w:val="CommentReference"/>
        </w:rPr>
        <w:t>My suggestion is the "Basic script functionality" list that follows.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164" w:rsidRDefault="00B41164" w:rsidP="000471FE">
      <w:pPr>
        <w:spacing w:after="0" w:line="240" w:lineRule="auto"/>
      </w:pPr>
      <w:r>
        <w:separator/>
      </w:r>
    </w:p>
  </w:endnote>
  <w:endnote w:type="continuationSeparator" w:id="0">
    <w:p w:rsidR="00B41164" w:rsidRDefault="00B41164" w:rsidP="0004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FE" w:rsidRDefault="001C4301" w:rsidP="001C4301">
    <w:pPr>
      <w:pStyle w:val="Footer"/>
      <w:tabs>
        <w:tab w:val="clear" w:pos="4680"/>
      </w:tabs>
    </w:pPr>
    <w:r>
      <w:t>PhUSE/CSS Working Group 5 Project 2: Scripts for Standard Analyses</w:t>
    </w:r>
    <w:r w:rsidR="000471FE">
      <w:tab/>
    </w:r>
    <w:r w:rsidR="00562C7E">
      <w:fldChar w:fldCharType="begin"/>
    </w:r>
    <w:r w:rsidR="00562C7E">
      <w:instrText xml:space="preserve"> PAGE   \* MERGEFORMAT </w:instrText>
    </w:r>
    <w:r w:rsidR="00562C7E">
      <w:fldChar w:fldCharType="separate"/>
    </w:r>
    <w:r w:rsidR="00662A4B">
      <w:rPr>
        <w:noProof/>
      </w:rPr>
      <w:t>3</w:t>
    </w:r>
    <w:r w:rsidR="00562C7E">
      <w:rPr>
        <w:noProof/>
      </w:rPr>
      <w:fldChar w:fldCharType="end"/>
    </w:r>
    <w:r w:rsidR="000471FE">
      <w:t xml:space="preserve"> of </w:t>
    </w:r>
    <w:fldSimple w:instr=" NUMPAGES   \* MERGEFORMAT ">
      <w:r w:rsidR="00662A4B">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164" w:rsidRDefault="00B41164" w:rsidP="000471FE">
      <w:pPr>
        <w:spacing w:after="0" w:line="240" w:lineRule="auto"/>
      </w:pPr>
      <w:r>
        <w:separator/>
      </w:r>
    </w:p>
  </w:footnote>
  <w:footnote w:type="continuationSeparator" w:id="0">
    <w:p w:rsidR="00B41164" w:rsidRDefault="00B41164" w:rsidP="00047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52572C"/>
    <w:lvl w:ilvl="0">
      <w:start w:val="1"/>
      <w:numFmt w:val="decimal"/>
      <w:lvlText w:val="%1."/>
      <w:lvlJc w:val="left"/>
      <w:pPr>
        <w:tabs>
          <w:tab w:val="num" w:pos="1800"/>
        </w:tabs>
        <w:ind w:left="1800" w:hanging="360"/>
      </w:pPr>
    </w:lvl>
  </w:abstractNum>
  <w:abstractNum w:abstractNumId="1">
    <w:nsid w:val="FFFFFF7D"/>
    <w:multiLevelType w:val="singleLevel"/>
    <w:tmpl w:val="F208AE4C"/>
    <w:lvl w:ilvl="0">
      <w:start w:val="1"/>
      <w:numFmt w:val="decimal"/>
      <w:lvlText w:val="%1."/>
      <w:lvlJc w:val="left"/>
      <w:pPr>
        <w:tabs>
          <w:tab w:val="num" w:pos="1440"/>
        </w:tabs>
        <w:ind w:left="1440" w:hanging="360"/>
      </w:pPr>
    </w:lvl>
  </w:abstractNum>
  <w:abstractNum w:abstractNumId="2">
    <w:nsid w:val="FFFFFF7E"/>
    <w:multiLevelType w:val="singleLevel"/>
    <w:tmpl w:val="736C88E0"/>
    <w:lvl w:ilvl="0">
      <w:start w:val="1"/>
      <w:numFmt w:val="decimal"/>
      <w:lvlText w:val="%1."/>
      <w:lvlJc w:val="left"/>
      <w:pPr>
        <w:tabs>
          <w:tab w:val="num" w:pos="1080"/>
        </w:tabs>
        <w:ind w:left="1080" w:hanging="360"/>
      </w:pPr>
    </w:lvl>
  </w:abstractNum>
  <w:abstractNum w:abstractNumId="3">
    <w:nsid w:val="FFFFFF7F"/>
    <w:multiLevelType w:val="singleLevel"/>
    <w:tmpl w:val="DED29B04"/>
    <w:lvl w:ilvl="0">
      <w:start w:val="1"/>
      <w:numFmt w:val="decimal"/>
      <w:lvlText w:val="%1."/>
      <w:lvlJc w:val="left"/>
      <w:pPr>
        <w:tabs>
          <w:tab w:val="num" w:pos="720"/>
        </w:tabs>
        <w:ind w:left="720" w:hanging="360"/>
      </w:pPr>
    </w:lvl>
  </w:abstractNum>
  <w:abstractNum w:abstractNumId="4">
    <w:nsid w:val="FFFFFF80"/>
    <w:multiLevelType w:val="singleLevel"/>
    <w:tmpl w:val="E1A4FF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A0E3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99490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84038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A4A3C0"/>
    <w:lvl w:ilvl="0">
      <w:start w:val="1"/>
      <w:numFmt w:val="decimal"/>
      <w:lvlText w:val="%1."/>
      <w:lvlJc w:val="left"/>
      <w:pPr>
        <w:tabs>
          <w:tab w:val="num" w:pos="360"/>
        </w:tabs>
        <w:ind w:left="360" w:hanging="360"/>
      </w:pPr>
    </w:lvl>
  </w:abstractNum>
  <w:abstractNum w:abstractNumId="9">
    <w:nsid w:val="FFFFFF89"/>
    <w:multiLevelType w:val="singleLevel"/>
    <w:tmpl w:val="4C2A4C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C8951F4"/>
    <w:multiLevelType w:val="hybridMultilevel"/>
    <w:tmpl w:val="6E9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17DB9"/>
    <w:multiLevelType w:val="hybridMultilevel"/>
    <w:tmpl w:val="659C9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695DF7"/>
    <w:multiLevelType w:val="multilevel"/>
    <w:tmpl w:val="3C2CC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444AA"/>
    <w:multiLevelType w:val="multilevel"/>
    <w:tmpl w:val="F00ED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9E"/>
    <w:rsid w:val="000471FE"/>
    <w:rsid w:val="00082714"/>
    <w:rsid w:val="000D2EAF"/>
    <w:rsid w:val="00111872"/>
    <w:rsid w:val="00194FD0"/>
    <w:rsid w:val="001C4301"/>
    <w:rsid w:val="00205D25"/>
    <w:rsid w:val="0025678B"/>
    <w:rsid w:val="002B7BB3"/>
    <w:rsid w:val="003540C9"/>
    <w:rsid w:val="00392925"/>
    <w:rsid w:val="003B6F6C"/>
    <w:rsid w:val="003F52D3"/>
    <w:rsid w:val="004255B8"/>
    <w:rsid w:val="004561A2"/>
    <w:rsid w:val="004B7948"/>
    <w:rsid w:val="00514DD3"/>
    <w:rsid w:val="00562C7E"/>
    <w:rsid w:val="00662A4B"/>
    <w:rsid w:val="006E719E"/>
    <w:rsid w:val="007A7B22"/>
    <w:rsid w:val="0088182A"/>
    <w:rsid w:val="00881E30"/>
    <w:rsid w:val="00A81959"/>
    <w:rsid w:val="00AB301E"/>
    <w:rsid w:val="00B41164"/>
    <w:rsid w:val="00B66458"/>
    <w:rsid w:val="00CA283A"/>
    <w:rsid w:val="00D17F3E"/>
    <w:rsid w:val="00D22DD0"/>
    <w:rsid w:val="00E61890"/>
    <w:rsid w:val="00F041A7"/>
    <w:rsid w:val="00FE6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1047">
      <w:bodyDiv w:val="1"/>
      <w:marLeft w:val="0"/>
      <w:marRight w:val="0"/>
      <w:marTop w:val="0"/>
      <w:marBottom w:val="0"/>
      <w:divBdr>
        <w:top w:val="none" w:sz="0" w:space="0" w:color="auto"/>
        <w:left w:val="none" w:sz="0" w:space="0" w:color="auto"/>
        <w:bottom w:val="none" w:sz="0" w:space="0" w:color="auto"/>
        <w:right w:val="none" w:sz="0" w:space="0" w:color="auto"/>
      </w:divBdr>
    </w:div>
    <w:div w:id="652107236">
      <w:bodyDiv w:val="1"/>
      <w:marLeft w:val="0"/>
      <w:marRight w:val="0"/>
      <w:marTop w:val="0"/>
      <w:marBottom w:val="0"/>
      <w:divBdr>
        <w:top w:val="none" w:sz="0" w:space="0" w:color="auto"/>
        <w:left w:val="none" w:sz="0" w:space="0" w:color="auto"/>
        <w:bottom w:val="none" w:sz="0" w:space="0" w:color="auto"/>
        <w:right w:val="none" w:sz="0" w:space="0" w:color="auto"/>
      </w:divBdr>
    </w:div>
    <w:div w:id="20472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usewiki.org/wiki/images/4/48/CSS_WhitePaper_CentralTendency_v1.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use-org/phuse-scripts/tree/master/scriptathon2014/dat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phuse-org/phuse-scripts/tree/master/whitepapers/utilities"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phusewiki.org/wiki/index.php?title=WG5_P02_Programming_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7E6A66-CAF6-4E94-ACB1-EB5DE00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PhUSE/CSS</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PeterS</dc:creator>
  <cp:lastModifiedBy>Di Tommaso, Dante</cp:lastModifiedBy>
  <cp:revision>11</cp:revision>
  <dcterms:created xsi:type="dcterms:W3CDTF">2015-08-03T14:20:00Z</dcterms:created>
  <dcterms:modified xsi:type="dcterms:W3CDTF">2015-08-04T08:43:00Z</dcterms:modified>
</cp:coreProperties>
</file>