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Output defined in: Figure 7.1 </w:t>
      </w:r>
      <w:r w:rsidRPr="008C0B62">
        <w:t xml:space="preserve">Box Plot – </w:t>
      </w:r>
      <w:r>
        <w:t xml:space="preserve">Observed Values of </w:t>
      </w:r>
      <w:r w:rsidRPr="008C0B62">
        <w:t>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>group boxes by time point, and label 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065400" w:rsidRDefault="009331C2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reference range outliers</w:t>
      </w:r>
      <w:r w:rsidRPr="00065400">
        <w:t xml:space="preserve"> as red dots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reference ranges - options to draw reference lines for various scenarios (based on values found in data)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uniform:</w:t>
      </w:r>
      <w:r w:rsidRPr="00065400">
        <w:t xml:space="preserve"> If all reference range values are uniform for a set of measures, draw those  uniform low/high reference range line.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narrow:</w:t>
      </w:r>
      <w:r w:rsidRPr="00065400">
        <w:t xml:space="preserve"> If reference range values are NOT uniform for a set of measures, draw the only the </w:t>
      </w:r>
      <w:r w:rsidRPr="00065400">
        <w:rPr>
          <w:i/>
        </w:rPr>
        <w:t>narrow</w:t>
      </w:r>
      <w:r w:rsidRPr="00065400">
        <w:t xml:space="preserve"> reference range lines (highest of the lows, lowest of the highs)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all:</w:t>
      </w:r>
      <w:r w:rsidRPr="00065400">
        <w:t xml:space="preserve"> Discouraged by white paper authors – draw all reference lines relevant to the set of measures.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:rsidR="009331C2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numeric value</w:t>
      </w:r>
      <w:r w:rsidR="004B2AE1" w:rsidRPr="00065400">
        <w:rPr>
          <w:b/>
        </w:rPr>
        <w:t>(s):</w:t>
      </w:r>
      <w:r w:rsidR="004B2AE1" w:rsidRPr="00065400">
        <w:t xml:space="preserve"> draw exactly these specific reference lines (e.g., a zero (0) line for change from baseline boxplots.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111872" w:rsidP="0011187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:rsidR="009331C2" w:rsidRPr="00065400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AVAL (measured outcome)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ANRLO (lower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ANRHI (upper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SAFFL (population flag)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ANL01FL (analysis flag)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lastRenderedPageBreak/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562C7E">
      <w:pPr>
        <w:pStyle w:val="ListBullet2"/>
      </w:pPr>
      <w:r>
        <w:t>Box plot type is schematic: the box shows median and interquartile range (IQR, the box edges);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below 25</w:t>
      </w:r>
      <w:r w:rsidR="00FA2448">
        <w:t xml:space="preserve">% and above 75%,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CSS_GeneralOutputandFormattingRequirements.docx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C73D17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ANL01FL,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HI, AVISIT, 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</w:t>
      </w:r>
      <w:bookmarkStart w:id="1" w:name="_GoBack"/>
      <w:bookmarkEnd w:id="1"/>
      <w:r w:rsidRPr="00C73D17">
        <w:rPr>
          <w:color w:val="76923C" w:themeColor="accent3" w:themeShade="BF"/>
        </w:rPr>
        <w:t>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D17F3E" w:rsidRPr="00D17F3E">
        <w:t>PhUSE</w:t>
      </w:r>
      <w:proofErr w:type="spellEnd"/>
      <w:r w:rsidR="00D17F3E" w:rsidRPr="00D17F3E">
        <w:t xml:space="preserve">/CSS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0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lastRenderedPageBreak/>
        <w:t xml:space="preserve">User must ensure that SAS can find </w:t>
      </w:r>
      <w:proofErr w:type="spellStart"/>
      <w:r w:rsidRPr="00D17F3E">
        <w:t>PhUSE</w:t>
      </w:r>
      <w:proofErr w:type="spellEnd"/>
      <w:r w:rsidRPr="00D17F3E">
        <w:t>/CSS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1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6E719E" w:rsidP="006E719E">
      <w:r w:rsidRPr="006E719E">
        <w:rPr>
          <w:noProof/>
        </w:rPr>
        <w:drawing>
          <wp:inline distT="0" distB="0" distL="0" distR="0">
            <wp:extent cx="5943600" cy="4530721"/>
            <wp:effectExtent l="0" t="0" r="0" b="381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3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4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45B" w:rsidRDefault="00F1045B" w:rsidP="000471FE">
      <w:pPr>
        <w:spacing w:after="0" w:line="240" w:lineRule="auto"/>
      </w:pPr>
      <w:r>
        <w:separator/>
      </w:r>
    </w:p>
  </w:endnote>
  <w:endnote w:type="continuationSeparator" w:id="0">
    <w:p w:rsidR="00F1045B" w:rsidRDefault="00F1045B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>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C73D17">
      <w:rPr>
        <w:noProof/>
      </w:rPr>
      <w:t>2</w:t>
    </w:r>
    <w:r w:rsidR="00562C7E">
      <w:rPr>
        <w:noProof/>
      </w:rPr>
      <w:fldChar w:fldCharType="end"/>
    </w:r>
    <w:r w:rsidR="000471FE">
      <w:t xml:space="preserve"> of </w:t>
    </w:r>
    <w:r w:rsidR="00F1045B">
      <w:fldChar w:fldCharType="begin"/>
    </w:r>
    <w:r w:rsidR="00F1045B">
      <w:instrText xml:space="preserve"> NUMPAGES   \* MERGEFORMAT </w:instrText>
    </w:r>
    <w:r w:rsidR="00F1045B">
      <w:fldChar w:fldCharType="separate"/>
    </w:r>
    <w:r w:rsidR="00C73D17">
      <w:rPr>
        <w:noProof/>
      </w:rPr>
      <w:t>3</w:t>
    </w:r>
    <w:r w:rsidR="00F104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45B" w:rsidRDefault="00F1045B" w:rsidP="000471FE">
      <w:pPr>
        <w:spacing w:after="0" w:line="240" w:lineRule="auto"/>
      </w:pPr>
      <w:r>
        <w:separator/>
      </w:r>
    </w:p>
  </w:footnote>
  <w:footnote w:type="continuationSeparator" w:id="0">
    <w:p w:rsidR="00F1045B" w:rsidRDefault="00F1045B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4FD0"/>
    <w:rsid w:val="001C4301"/>
    <w:rsid w:val="00205D25"/>
    <w:rsid w:val="00254471"/>
    <w:rsid w:val="0025678B"/>
    <w:rsid w:val="002B7BB3"/>
    <w:rsid w:val="002E40BC"/>
    <w:rsid w:val="0031576A"/>
    <w:rsid w:val="003540C9"/>
    <w:rsid w:val="00392925"/>
    <w:rsid w:val="003B5497"/>
    <w:rsid w:val="003B6F6C"/>
    <w:rsid w:val="003F52D3"/>
    <w:rsid w:val="004255B8"/>
    <w:rsid w:val="004561A2"/>
    <w:rsid w:val="004B2AE1"/>
    <w:rsid w:val="004B7948"/>
    <w:rsid w:val="004C662A"/>
    <w:rsid w:val="004E4083"/>
    <w:rsid w:val="00514DD3"/>
    <w:rsid w:val="00562C7E"/>
    <w:rsid w:val="00653FFC"/>
    <w:rsid w:val="00662A4B"/>
    <w:rsid w:val="006E719E"/>
    <w:rsid w:val="007A7B22"/>
    <w:rsid w:val="0088182A"/>
    <w:rsid w:val="00881E30"/>
    <w:rsid w:val="00890B66"/>
    <w:rsid w:val="009331C2"/>
    <w:rsid w:val="00940E4F"/>
    <w:rsid w:val="00956A11"/>
    <w:rsid w:val="00A37DCC"/>
    <w:rsid w:val="00A704E9"/>
    <w:rsid w:val="00A81959"/>
    <w:rsid w:val="00AA02E4"/>
    <w:rsid w:val="00AB301E"/>
    <w:rsid w:val="00B41164"/>
    <w:rsid w:val="00B66458"/>
    <w:rsid w:val="00B80BDE"/>
    <w:rsid w:val="00C73D17"/>
    <w:rsid w:val="00CA283A"/>
    <w:rsid w:val="00CE3B73"/>
    <w:rsid w:val="00D17F3E"/>
    <w:rsid w:val="00D22DD0"/>
    <w:rsid w:val="00D4250E"/>
    <w:rsid w:val="00DC1B29"/>
    <w:rsid w:val="00DD373F"/>
    <w:rsid w:val="00E50534"/>
    <w:rsid w:val="00E61890"/>
    <w:rsid w:val="00F041A7"/>
    <w:rsid w:val="00F1045B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mages/4/48/CSS_WhitePaper_CentralTendency_v1.0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data/adam/cdis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huse-org/phuse-scripts/tree/master/whitepapers/util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ndex.php?title=WG5_P02_Programming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C3B79E-815E-468C-8ABB-59AE1643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PeterS</dc:creator>
  <cp:lastModifiedBy>Di Tommaso, Dante</cp:lastModifiedBy>
  <cp:revision>27</cp:revision>
  <dcterms:created xsi:type="dcterms:W3CDTF">2015-08-03T14:20:00Z</dcterms:created>
  <dcterms:modified xsi:type="dcterms:W3CDTF">2016-01-04T12:53:00Z</dcterms:modified>
</cp:coreProperties>
</file>