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 w:rsidR="00463CB8">
        <w:t xml:space="preserve">DEFAULT. </w:t>
      </w:r>
      <w:r w:rsidRPr="00065400">
        <w:t>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lastRenderedPageBreak/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E23DB0" w:rsidP="00E23DB0">
      <w:pPr>
        <w:pStyle w:val="ListBullet2"/>
      </w:pPr>
      <w:r w:rsidRPr="00E23DB0">
        <w:t>Box plot type is schematic: the box shows median and interquartile range (IQR, the box height); the whiskers extend to the minimum and maximum data points within 1.5 IQR of the lower and upper quartiles, respectively</w:t>
      </w:r>
      <w:bookmarkStart w:id="0" w:name="_GoBack"/>
      <w:bookmarkEnd w:id="0"/>
      <w:r w:rsidRPr="00E23DB0">
        <w:t xml:space="preserve">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190DD7">
        <w:t xml:space="preserve"> </w:t>
      </w:r>
      <w:r w:rsidR="00190DD7" w:rsidRPr="00463CB8">
        <w:rPr>
          <w:i/>
          <w:color w:val="E36C0A" w:themeColor="accent6" w:themeShade="BF"/>
        </w:rPr>
        <w:t>(indicated by red lines ...)</w:t>
      </w:r>
      <w:r w:rsidR="00890B66">
        <w:t>.</w:t>
      </w:r>
    </w:p>
    <w:p w:rsidR="00190DD7" w:rsidRDefault="00190DD7" w:rsidP="00562C7E">
      <w:pPr>
        <w:pStyle w:val="ListBullet2"/>
      </w:pPr>
      <w:r>
        <w:t xml:space="preserve">The parenthetical clause </w:t>
      </w:r>
      <w:r w:rsidRPr="00463CB8">
        <w:rPr>
          <w:i/>
          <w:color w:val="E36C0A" w:themeColor="accent6" w:themeShade="BF"/>
        </w:rPr>
        <w:t>(indicated by red lines ...)</w:t>
      </w:r>
      <w:r>
        <w:t xml:space="preserve"> should be dynamic, based on whether lines appear and which lines the user specified.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lastRenderedPageBreak/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2F" w:rsidRDefault="0044172F" w:rsidP="000471FE">
      <w:pPr>
        <w:spacing w:after="0" w:line="240" w:lineRule="auto"/>
      </w:pPr>
      <w:r>
        <w:separator/>
      </w:r>
    </w:p>
  </w:endnote>
  <w:endnote w:type="continuationSeparator" w:id="0">
    <w:p w:rsidR="0044172F" w:rsidRDefault="0044172F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E23DB0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44172F">
      <w:fldChar w:fldCharType="begin"/>
    </w:r>
    <w:r w:rsidR="0044172F">
      <w:instrText xml:space="preserve"> NUMPAGES   \* MERGEFORMAT </w:instrText>
    </w:r>
    <w:r w:rsidR="0044172F">
      <w:fldChar w:fldCharType="separate"/>
    </w:r>
    <w:r w:rsidR="00E23DB0">
      <w:rPr>
        <w:noProof/>
      </w:rPr>
      <w:t>3</w:t>
    </w:r>
    <w:r w:rsidR="0044172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2F" w:rsidRDefault="0044172F" w:rsidP="000471FE">
      <w:pPr>
        <w:spacing w:after="0" w:line="240" w:lineRule="auto"/>
      </w:pPr>
      <w:r>
        <w:separator/>
      </w:r>
    </w:p>
  </w:footnote>
  <w:footnote w:type="continuationSeparator" w:id="0">
    <w:p w:rsidR="0044172F" w:rsidRDefault="0044172F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7BB3"/>
    <w:rsid w:val="002D1916"/>
    <w:rsid w:val="002E40BC"/>
    <w:rsid w:val="0031576A"/>
    <w:rsid w:val="003540C9"/>
    <w:rsid w:val="00392925"/>
    <w:rsid w:val="003B5497"/>
    <w:rsid w:val="003B6F6C"/>
    <w:rsid w:val="003F52D3"/>
    <w:rsid w:val="004255B8"/>
    <w:rsid w:val="0044172F"/>
    <w:rsid w:val="004561A2"/>
    <w:rsid w:val="00463CB8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7243B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41481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23DB0"/>
    <w:rsid w:val="00E40F55"/>
    <w:rsid w:val="00E50534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B90BE-3D0C-4B1D-BD10-13307033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34</cp:revision>
  <dcterms:created xsi:type="dcterms:W3CDTF">2015-08-03T14:20:00Z</dcterms:created>
  <dcterms:modified xsi:type="dcterms:W3CDTF">2016-02-17T13:49:00Z</dcterms:modified>
</cp:coreProperties>
</file>