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>
      <w:bookmarkStart w:id="0" w:name="_GoBack"/>
      <w:bookmarkEnd w:id="0"/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 xml:space="preserve">ANCOVA p-value option: Leave these value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</w:t>
      </w:r>
      <w:r>
        <w:t xml:space="preserve">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</w:t>
      </w:r>
      <w:r>
        <w:t>, such as a TRTPN value like zero (0)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lastRenderedPageBreak/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01" w:rsidRDefault="004A2201" w:rsidP="000471FE">
      <w:pPr>
        <w:spacing w:after="0" w:line="240" w:lineRule="auto"/>
      </w:pPr>
      <w:r>
        <w:separator/>
      </w:r>
    </w:p>
  </w:endnote>
  <w:endnote w:type="continuationSeparator" w:id="0">
    <w:p w:rsidR="004A2201" w:rsidRDefault="004A2201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267493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r w:rsidR="004A2201">
      <w:fldChar w:fldCharType="begin"/>
    </w:r>
    <w:r w:rsidR="004A2201">
      <w:instrText xml:space="preserve"> NUMPAGES   \* MERGEFORMAT </w:instrText>
    </w:r>
    <w:r w:rsidR="004A2201">
      <w:fldChar w:fldCharType="separate"/>
    </w:r>
    <w:r w:rsidR="00267493">
      <w:rPr>
        <w:noProof/>
      </w:rPr>
      <w:t>3</w:t>
    </w:r>
    <w:r w:rsidR="004A220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01" w:rsidRDefault="004A2201" w:rsidP="000471FE">
      <w:pPr>
        <w:spacing w:after="0" w:line="240" w:lineRule="auto"/>
      </w:pPr>
      <w:r>
        <w:separator/>
      </w:r>
    </w:p>
  </w:footnote>
  <w:footnote w:type="continuationSeparator" w:id="0">
    <w:p w:rsidR="004A2201" w:rsidRDefault="004A2201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454B3"/>
    <w:rsid w:val="00194FD0"/>
    <w:rsid w:val="001C4301"/>
    <w:rsid w:val="00205D25"/>
    <w:rsid w:val="00254471"/>
    <w:rsid w:val="0025678B"/>
    <w:rsid w:val="00267493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14DD3"/>
    <w:rsid w:val="00562C7E"/>
    <w:rsid w:val="005E09D0"/>
    <w:rsid w:val="00653FFC"/>
    <w:rsid w:val="00662A4B"/>
    <w:rsid w:val="006D51A8"/>
    <w:rsid w:val="006E719E"/>
    <w:rsid w:val="00740D24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A01D54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C1569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6B0FC-F3BE-474D-A6FA-4A572B98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18</cp:revision>
  <dcterms:created xsi:type="dcterms:W3CDTF">2016-01-04T11:59:00Z</dcterms:created>
  <dcterms:modified xsi:type="dcterms:W3CDTF">2016-02-06T08:44:00Z</dcterms:modified>
</cp:coreProperties>
</file>