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5E09D0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name" which could be planned or actual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number" used for display order of Treatment Names</w:t>
      </w:r>
    </w:p>
    <w:p w:rsidR="00111872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</w:t>
      </w:r>
      <w:r w:rsidR="00CD1155">
        <w:t xml:space="preserve">variable </w:t>
      </w:r>
      <w:r w:rsidR="00111872" w:rsidRPr="00065400">
        <w:t>(</w:t>
      </w:r>
      <w:r>
        <w:t xml:space="preserve">change-from-baseline </w:t>
      </w:r>
      <w:r w:rsidR="00111872" w:rsidRPr="00065400">
        <w:t>outcome)</w:t>
      </w:r>
    </w:p>
    <w:p w:rsidR="007F1448" w:rsidRDefault="007F1448" w:rsidP="006D51A8">
      <w:pPr>
        <w:pStyle w:val="ListBullet"/>
        <w:tabs>
          <w:tab w:val="clear" w:pos="360"/>
        </w:tabs>
        <w:ind w:left="1440"/>
      </w:pPr>
      <w:r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SAFFL </w:t>
      </w:r>
      <w:r w:rsidR="00CD1155">
        <w:t xml:space="preserve">variable </w:t>
      </w:r>
      <w:r w:rsidRPr="00065400">
        <w:t>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ANL01FL </w:t>
      </w:r>
      <w:r w:rsidR="00CD1155">
        <w:t xml:space="preserve">variable </w:t>
      </w:r>
      <w:r w:rsidRPr="00065400">
        <w:t>(analysis flag)</w:t>
      </w:r>
    </w:p>
    <w:p w:rsidR="00CD1155" w:rsidRDefault="006D51A8" w:rsidP="00E50534">
      <w:pPr>
        <w:pStyle w:val="ListBullet"/>
        <w:tabs>
          <w:tab w:val="clear" w:pos="360"/>
        </w:tabs>
        <w:ind w:left="1440"/>
      </w:pPr>
      <w:r>
        <w:t xml:space="preserve">ANCOVA p-value option: Leave these value blank to omit </w:t>
      </w:r>
      <w:r w:rsidR="00CD1155">
        <w:t>Endpoint ANCOVA p-value</w:t>
      </w:r>
      <w:r>
        <w:t>s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"Baseline" measurement variable , such as BASE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"Reference" treatment number, such as a TRTPN value like zero (0)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lastRenderedPageBreak/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961707" w:rsidP="00961707">
      <w:pPr>
        <w:pStyle w:val="ListBullet2"/>
      </w:pPr>
      <w:bookmarkStart w:id="0" w:name="_GoBack"/>
      <w:bookmarkEnd w:id="0"/>
      <w:r w:rsidRPr="00961707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740D24">
        <w:rPr>
          <w:rFonts w:asciiTheme="minorHAnsi" w:hAnsiTheme="minorHAnsi"/>
          <w:color w:val="auto"/>
        </w:rPr>
        <w:t>Vital Signs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Pr="00740D24">
        <w:rPr>
          <w:color w:val="183691"/>
        </w:rPr>
        <w:t>ADVS</w:t>
      </w:r>
      <w:r w:rsidR="003540C9" w:rsidRPr="00740D24">
        <w:rPr>
          <w:color w:val="183691"/>
        </w:rPr>
        <w:t xml:space="preserve"> 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740D24">
        <w:rPr>
          <w:color w:val="183691"/>
        </w:rPr>
        <w:t xml:space="preserve">STUDYID, USUBJID, SAFFL, ANL01FL, TRTP, TRTPN, PARAM, PARAMCD, </w:t>
      </w:r>
      <w:r w:rsidR="007F1448" w:rsidRPr="007F1448">
        <w:rPr>
          <w:color w:val="C00000"/>
        </w:rPr>
        <w:t>CHG</w:t>
      </w:r>
      <w:r w:rsidRPr="00740D24">
        <w:rPr>
          <w:color w:val="183691"/>
        </w:rPr>
        <w:t>, ANRLO, ANRHI, AVISIT, AVISITN, ATPT, ATPTN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3540C9" w:rsidRPr="00740D24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740D24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AD</w:t>
      </w:r>
      <w:r w:rsidR="00E61890" w:rsidRPr="00740D24">
        <w:rPr>
          <w:color w:val="76923C" w:themeColor="accent3" w:themeShade="BF"/>
        </w:rPr>
        <w:t>LBC or ADLBH or ADLBHY?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STUDYID, USUBJID, SAFFL, ANL01FL, TRTP, TRTPN, PARAM, PARAMCD, AVAL,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LO,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HI, AVISIT, AVISITN</w:t>
      </w:r>
      <w:r w:rsidRPr="00740D24">
        <w:rPr>
          <w:strike/>
          <w:color w:val="76923C" w:themeColor="accent3" w:themeShade="BF"/>
        </w:rPr>
        <w:t>, ATPT, ATPTN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740D24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740D24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740D24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74642A">
        <w:t>PhUSE</w:t>
      </w:r>
      <w:proofErr w:type="spellEnd"/>
      <w:r w:rsidR="0074642A">
        <w:t xml:space="preserve"> C</w:t>
      </w:r>
      <w:r w:rsidR="00D17F3E" w:rsidRPr="00D17F3E">
        <w:t xml:space="preserve">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</w:t>
      </w:r>
      <w:r w:rsidR="0074642A">
        <w:t xml:space="preserve"> ensure that SAS can find </w:t>
      </w:r>
      <w:proofErr w:type="spellStart"/>
      <w:r w:rsidR="0074642A">
        <w:t>PhUSE</w:t>
      </w:r>
      <w:proofErr w:type="spellEnd"/>
      <w:r w:rsidR="0074642A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lastRenderedPageBreak/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1454B3" w:rsidP="006E719E">
      <w:r>
        <w:rPr>
          <w:noProof/>
        </w:rPr>
        <w:drawing>
          <wp:inline distT="0" distB="0" distL="0" distR="0" wp14:anchorId="4A63C80C" wp14:editId="682D1F23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721" w:rsidRDefault="00594721" w:rsidP="000471FE">
      <w:pPr>
        <w:spacing w:after="0" w:line="240" w:lineRule="auto"/>
      </w:pPr>
      <w:r>
        <w:separator/>
      </w:r>
    </w:p>
  </w:endnote>
  <w:endnote w:type="continuationSeparator" w:id="0">
    <w:p w:rsidR="00594721" w:rsidRDefault="00594721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74642A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961707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r w:rsidR="00594721">
      <w:fldChar w:fldCharType="begin"/>
    </w:r>
    <w:r w:rsidR="00594721">
      <w:instrText xml:space="preserve"> NUMPAGES   \* MERGEFORMAT </w:instrText>
    </w:r>
    <w:r w:rsidR="00594721">
      <w:fldChar w:fldCharType="separate"/>
    </w:r>
    <w:r w:rsidR="00961707">
      <w:rPr>
        <w:noProof/>
      </w:rPr>
      <w:t>3</w:t>
    </w:r>
    <w:r w:rsidR="0059472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721" w:rsidRDefault="00594721" w:rsidP="000471FE">
      <w:pPr>
        <w:spacing w:after="0" w:line="240" w:lineRule="auto"/>
      </w:pPr>
      <w:r>
        <w:separator/>
      </w:r>
    </w:p>
  </w:footnote>
  <w:footnote w:type="continuationSeparator" w:id="0">
    <w:p w:rsidR="00594721" w:rsidRDefault="00594721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0CCD"/>
    <w:rsid w:val="000471FE"/>
    <w:rsid w:val="00065400"/>
    <w:rsid w:val="00082714"/>
    <w:rsid w:val="000D2EAF"/>
    <w:rsid w:val="00111872"/>
    <w:rsid w:val="001454B3"/>
    <w:rsid w:val="00194FD0"/>
    <w:rsid w:val="001C4301"/>
    <w:rsid w:val="00205D25"/>
    <w:rsid w:val="00233FFB"/>
    <w:rsid w:val="00254471"/>
    <w:rsid w:val="0025678B"/>
    <w:rsid w:val="00267493"/>
    <w:rsid w:val="002B7BB3"/>
    <w:rsid w:val="002E40BC"/>
    <w:rsid w:val="00303B3F"/>
    <w:rsid w:val="0031576A"/>
    <w:rsid w:val="003540C9"/>
    <w:rsid w:val="00392925"/>
    <w:rsid w:val="003B5497"/>
    <w:rsid w:val="003B6F6C"/>
    <w:rsid w:val="003F52D3"/>
    <w:rsid w:val="004132AC"/>
    <w:rsid w:val="004255B8"/>
    <w:rsid w:val="004561A2"/>
    <w:rsid w:val="004A2201"/>
    <w:rsid w:val="004B2AE1"/>
    <w:rsid w:val="004B7948"/>
    <w:rsid w:val="004C662A"/>
    <w:rsid w:val="004E4083"/>
    <w:rsid w:val="00514DD3"/>
    <w:rsid w:val="00562C7E"/>
    <w:rsid w:val="00594721"/>
    <w:rsid w:val="005E09D0"/>
    <w:rsid w:val="00653FFC"/>
    <w:rsid w:val="00662A4B"/>
    <w:rsid w:val="006D51A8"/>
    <w:rsid w:val="006E719E"/>
    <w:rsid w:val="00740D24"/>
    <w:rsid w:val="0074642A"/>
    <w:rsid w:val="007A7B22"/>
    <w:rsid w:val="007D4537"/>
    <w:rsid w:val="007F1448"/>
    <w:rsid w:val="0088182A"/>
    <w:rsid w:val="00881E30"/>
    <w:rsid w:val="00890B66"/>
    <w:rsid w:val="008A49E1"/>
    <w:rsid w:val="009331C2"/>
    <w:rsid w:val="00940E4F"/>
    <w:rsid w:val="00952800"/>
    <w:rsid w:val="00956A11"/>
    <w:rsid w:val="00961707"/>
    <w:rsid w:val="00A01D54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BC1569"/>
    <w:rsid w:val="00CA283A"/>
    <w:rsid w:val="00CB6897"/>
    <w:rsid w:val="00CD1155"/>
    <w:rsid w:val="00CE3B73"/>
    <w:rsid w:val="00D02336"/>
    <w:rsid w:val="00D17F3E"/>
    <w:rsid w:val="00D22DD0"/>
    <w:rsid w:val="00DC1B29"/>
    <w:rsid w:val="00DD373F"/>
    <w:rsid w:val="00E50534"/>
    <w:rsid w:val="00E61890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4741D-64C4-4379-B6F8-FC420DC6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21</cp:revision>
  <dcterms:created xsi:type="dcterms:W3CDTF">2016-01-04T11:59:00Z</dcterms:created>
  <dcterms:modified xsi:type="dcterms:W3CDTF">2016-02-17T13:50:00Z</dcterms:modified>
</cp:coreProperties>
</file>