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2E922FF4" w:rsidR="00F32BF4" w:rsidRPr="00626216" w:rsidRDefault="008D6552" w:rsidP="00F736D1">
      <w:pPr>
        <w:pStyle w:val="Heading3"/>
        <w:numPr>
          <w:ilvl w:val="0"/>
          <w:numId w:val="5"/>
        </w:numPr>
        <w:spacing w:before="77"/>
        <w:rPr>
          <w:spacing w:val="-1"/>
          <w:w w:val="105"/>
          <w:sz w:val="24"/>
        </w:rPr>
      </w:pPr>
      <w:r w:rsidRPr="00626216">
        <w:rPr>
          <w:spacing w:val="-1"/>
          <w:w w:val="105"/>
          <w:sz w:val="24"/>
        </w:rPr>
        <w:t>Bruce 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272EBDF" w14:textId="3D611A48" w:rsidR="00C80373" w:rsidRPr="00124CD7" w:rsidRDefault="007F2D75" w:rsidP="00124CD7">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124CD7">
        <w:rPr>
          <w:rStyle w:val="Hyperlink"/>
          <w:color w:val="auto"/>
          <w:spacing w:val="-1"/>
          <w:w w:val="105"/>
          <w:sz w:val="24"/>
          <w:u w:val="none"/>
        </w:rPr>
        <w:t xml:space="preserve">. </w:t>
      </w:r>
      <w:r w:rsidR="00124CD7" w:rsidRPr="00124CD7">
        <w:rPr>
          <w:spacing w:val="-1"/>
          <w:w w:val="105"/>
          <w:sz w:val="24"/>
        </w:rPr>
        <w:t xml:space="preserve">The code in the </w:t>
      </w:r>
      <w:proofErr w:type="spellStart"/>
      <w:r w:rsidR="00124CD7" w:rsidRPr="00124CD7">
        <w:rPr>
          <w:spacing w:val="-1"/>
          <w:w w:val="105"/>
          <w:sz w:val="24"/>
        </w:rPr>
        <w:t>IPython</w:t>
      </w:r>
      <w:proofErr w:type="spellEnd"/>
      <w:r w:rsidR="00124CD7" w:rsidRPr="00124CD7">
        <w:rPr>
          <w:spacing w:val="-1"/>
          <w:w w:val="105"/>
          <w:sz w:val="24"/>
        </w:rPr>
        <w:t xml:space="preserve"> notebooks can be executed either locally, or online </w:t>
      </w:r>
      <w:r w:rsidR="00124CD7">
        <w:rPr>
          <w:spacing w:val="-1"/>
          <w:w w:val="105"/>
          <w:sz w:val="24"/>
        </w:rPr>
        <w:t>at</w:t>
      </w:r>
      <w:r w:rsidR="00C80373" w:rsidRPr="00124CD7">
        <w:rPr>
          <w:spacing w:val="-1"/>
          <w:w w:val="105"/>
          <w:sz w:val="24"/>
        </w:rPr>
        <w:t xml:space="preserve"> </w:t>
      </w:r>
      <w:hyperlink r:id="rId11" w:history="1">
        <w:r w:rsidR="00C80373" w:rsidRPr="00124CD7">
          <w:rPr>
            <w:rStyle w:val="Hyperlink"/>
            <w:spacing w:val="-1"/>
            <w:w w:val="105"/>
            <w:sz w:val="24"/>
          </w:rPr>
          <w:t>https://notebooks.azure.com/</w:t>
        </w:r>
      </w:hyperlink>
      <w:r w:rsidR="00124CD7" w:rsidRPr="00124CD7">
        <w:rPr>
          <w:spacing w:val="-1"/>
          <w:w w:val="105"/>
          <w:sz w:val="24"/>
        </w:rPr>
        <w:t xml:space="preserve"> </w:t>
      </w:r>
    </w:p>
    <w:p w14:paraId="137329C8" w14:textId="77777777" w:rsidR="00FA66AE" w:rsidRPr="00241676" w:rsidRDefault="00FA66AE" w:rsidP="000A387D">
      <w:pPr>
        <w:spacing w:before="187"/>
        <w:ind w:left="490"/>
        <w:rPr>
          <w:rFonts w:ascii="Times New Roman"/>
          <w:b/>
          <w:spacing w:val="-4"/>
          <w:w w:val="105"/>
          <w:sz w:val="24"/>
        </w:rPr>
      </w:pPr>
      <w:bookmarkStart w:id="0" w:name="_GoBack"/>
      <w:bookmarkEnd w:id="0"/>
    </w:p>
    <w:p w14:paraId="2114595F" w14:textId="63A6DCD8" w:rsidR="000A387D" w:rsidRPr="00241676" w:rsidRDefault="000A387D" w:rsidP="000A387D">
      <w:pPr>
        <w:spacing w:before="187"/>
        <w:ind w:left="490"/>
        <w:rPr>
          <w:rFonts w:ascii="Times New Roman"/>
          <w:b/>
          <w:spacing w:val="-4"/>
          <w:w w:val="105"/>
          <w:sz w:val="24"/>
        </w:rPr>
      </w:pPr>
      <w:r w:rsidRPr="00241676">
        <w:rPr>
          <w:rFonts w:ascii="Times New Roman"/>
          <w:b/>
          <w:spacing w:val="-4"/>
          <w:w w:val="105"/>
          <w:sz w:val="24"/>
        </w:rPr>
        <w:t>References:</w:t>
      </w:r>
    </w:p>
    <w:p w14:paraId="24B56535" w14:textId="77777777" w:rsidR="000A387D" w:rsidRPr="00241676" w:rsidRDefault="000A387D" w:rsidP="000A387D">
      <w:pPr>
        <w:pStyle w:val="Heading3"/>
        <w:spacing w:before="77"/>
        <w:rPr>
          <w:i/>
          <w:spacing w:val="-1"/>
          <w:w w:val="105"/>
          <w:sz w:val="24"/>
        </w:rPr>
      </w:pPr>
      <w:r w:rsidRPr="00241676">
        <w:rPr>
          <w:i/>
          <w:spacing w:val="-1"/>
          <w:w w:val="105"/>
          <w:sz w:val="24"/>
        </w:rPr>
        <w:t>For comprehensive coverage</w:t>
      </w:r>
    </w:p>
    <w:p w14:paraId="5DF877F8" w14:textId="77777777" w:rsidR="000A387D" w:rsidRPr="00241676" w:rsidRDefault="000A387D" w:rsidP="00B55B12">
      <w:pPr>
        <w:pStyle w:val="Heading3"/>
        <w:numPr>
          <w:ilvl w:val="0"/>
          <w:numId w:val="6"/>
        </w:numPr>
        <w:spacing w:before="77"/>
        <w:rPr>
          <w:spacing w:val="-1"/>
          <w:w w:val="105"/>
          <w:sz w:val="24"/>
        </w:rPr>
      </w:pPr>
      <w:r w:rsidRPr="00241676">
        <w:rPr>
          <w:spacing w:val="-1"/>
          <w:w w:val="105"/>
          <w:sz w:val="24"/>
        </w:rPr>
        <w:t>Hayashi (2000): Econometrics</w:t>
      </w:r>
    </w:p>
    <w:p w14:paraId="201F5D81" w14:textId="77777777" w:rsidR="000A387D" w:rsidRPr="00241676" w:rsidRDefault="000A387D" w:rsidP="00E9569F">
      <w:pPr>
        <w:pStyle w:val="Heading3"/>
        <w:spacing w:before="77"/>
        <w:rPr>
          <w:i/>
          <w:spacing w:val="-1"/>
          <w:w w:val="105"/>
          <w:sz w:val="24"/>
        </w:rPr>
      </w:pPr>
    </w:p>
    <w:p w14:paraId="6E52F3BB" w14:textId="61533901" w:rsidR="00F32BF4" w:rsidRPr="00241676" w:rsidRDefault="005D3BA2" w:rsidP="00E9569F">
      <w:pPr>
        <w:pStyle w:val="Heading3"/>
        <w:spacing w:before="77"/>
        <w:rPr>
          <w:i/>
          <w:spacing w:val="-1"/>
          <w:w w:val="105"/>
          <w:sz w:val="24"/>
        </w:rPr>
      </w:pPr>
      <w:r w:rsidRPr="00241676">
        <w:rPr>
          <w:i/>
          <w:spacing w:val="-1"/>
          <w:w w:val="105"/>
          <w:sz w:val="24"/>
        </w:rPr>
        <w:t>For undergraduate-level knowledge</w:t>
      </w:r>
    </w:p>
    <w:p w14:paraId="7F5D2CEA" w14:textId="77777777" w:rsidR="00F32BF4" w:rsidRPr="00241676" w:rsidRDefault="00D524DE" w:rsidP="00B55B12">
      <w:pPr>
        <w:pStyle w:val="Heading3"/>
        <w:numPr>
          <w:ilvl w:val="0"/>
          <w:numId w:val="6"/>
        </w:numPr>
        <w:spacing w:before="77"/>
        <w:rPr>
          <w:spacing w:val="-1"/>
          <w:w w:val="105"/>
          <w:sz w:val="24"/>
        </w:rPr>
      </w:pPr>
      <w:r w:rsidRPr="00241676">
        <w:rPr>
          <w:spacing w:val="-1"/>
          <w:w w:val="105"/>
          <w:sz w:val="24"/>
        </w:rPr>
        <w:t xml:space="preserve">Stock and Watson (2014): </w:t>
      </w:r>
      <w:r w:rsidR="005D3BA2" w:rsidRPr="00241676">
        <w:rPr>
          <w:spacing w:val="-1"/>
          <w:w w:val="105"/>
          <w:sz w:val="24"/>
        </w:rPr>
        <w:t xml:space="preserve">Introduction to Econometrics </w:t>
      </w:r>
      <w:r w:rsidR="000A387D" w:rsidRPr="00241676">
        <w:rPr>
          <w:spacing w:val="-1"/>
          <w:w w:val="105"/>
          <w:sz w:val="24"/>
        </w:rPr>
        <w:t>(3</w:t>
      </w:r>
      <w:r w:rsidR="000A387D" w:rsidRPr="00241676">
        <w:rPr>
          <w:spacing w:val="-1"/>
          <w:w w:val="105"/>
          <w:sz w:val="24"/>
          <w:vertAlign w:val="superscript"/>
        </w:rPr>
        <w:t>rd</w:t>
      </w:r>
      <w:r w:rsidR="000A387D" w:rsidRPr="00241676">
        <w:rPr>
          <w:spacing w:val="-1"/>
          <w:w w:val="105"/>
          <w:sz w:val="24"/>
        </w:rPr>
        <w:t xml:space="preserve"> Ed.)</w:t>
      </w:r>
    </w:p>
    <w:p w14:paraId="34910113" w14:textId="77777777" w:rsidR="00F32BF4" w:rsidRPr="00241676" w:rsidRDefault="00F32BF4" w:rsidP="00E9569F">
      <w:pPr>
        <w:pStyle w:val="Heading3"/>
        <w:spacing w:before="77"/>
        <w:rPr>
          <w:spacing w:val="-1"/>
          <w:w w:val="105"/>
          <w:sz w:val="24"/>
        </w:rPr>
      </w:pPr>
    </w:p>
    <w:p w14:paraId="39E2F751" w14:textId="2ABCAA6A" w:rsidR="00F32BF4" w:rsidRPr="00241676" w:rsidRDefault="005D3BA2" w:rsidP="00E9569F">
      <w:pPr>
        <w:pStyle w:val="Heading3"/>
        <w:spacing w:before="77"/>
        <w:rPr>
          <w:i/>
          <w:spacing w:val="-1"/>
          <w:w w:val="105"/>
          <w:sz w:val="24"/>
        </w:rPr>
      </w:pPr>
      <w:r w:rsidRPr="00241676">
        <w:rPr>
          <w:i/>
          <w:spacing w:val="-1"/>
          <w:w w:val="105"/>
          <w:sz w:val="24"/>
        </w:rPr>
        <w:t xml:space="preserve">For </w:t>
      </w:r>
      <w:r w:rsidR="00E9569F" w:rsidRPr="00241676">
        <w:rPr>
          <w:i/>
          <w:spacing w:val="-1"/>
          <w:w w:val="105"/>
          <w:sz w:val="24"/>
        </w:rPr>
        <w:t>mathematical</w:t>
      </w:r>
      <w:r w:rsidRPr="00241676">
        <w:rPr>
          <w:i/>
          <w:spacing w:val="-1"/>
          <w:w w:val="105"/>
          <w:sz w:val="24"/>
        </w:rPr>
        <w:t xml:space="preserve"> </w:t>
      </w:r>
      <w:r w:rsidR="00BB026B" w:rsidRPr="00241676">
        <w:rPr>
          <w:i/>
          <w:spacing w:val="-1"/>
          <w:w w:val="105"/>
          <w:sz w:val="24"/>
        </w:rPr>
        <w:t>statistics</w:t>
      </w:r>
      <w:r w:rsidR="000E37C3" w:rsidRPr="00241676">
        <w:rPr>
          <w:i/>
          <w:spacing w:val="-1"/>
          <w:w w:val="105"/>
          <w:sz w:val="24"/>
        </w:rPr>
        <w:t xml:space="preserve"> foundation</w:t>
      </w:r>
    </w:p>
    <w:p w14:paraId="5336A7DB" w14:textId="58E68B13" w:rsidR="00F32BF4" w:rsidRPr="00241676" w:rsidRDefault="00D524DE" w:rsidP="00B55B12">
      <w:pPr>
        <w:pStyle w:val="Heading3"/>
        <w:numPr>
          <w:ilvl w:val="0"/>
          <w:numId w:val="6"/>
        </w:numPr>
        <w:spacing w:before="77"/>
        <w:rPr>
          <w:spacing w:val="-1"/>
          <w:w w:val="105"/>
          <w:sz w:val="24"/>
        </w:rPr>
      </w:pPr>
      <w:r w:rsidRPr="00241676">
        <w:rPr>
          <w:spacing w:val="-1"/>
          <w:w w:val="105"/>
          <w:sz w:val="24"/>
        </w:rPr>
        <w:t>Casella and Berger (200</w:t>
      </w:r>
      <w:r w:rsidR="008C16EA" w:rsidRPr="00241676">
        <w:rPr>
          <w:spacing w:val="-1"/>
          <w:w w:val="105"/>
          <w:sz w:val="24"/>
        </w:rPr>
        <w:t>2</w:t>
      </w:r>
      <w:r w:rsidRPr="00241676">
        <w:rPr>
          <w:spacing w:val="-1"/>
          <w:w w:val="105"/>
          <w:sz w:val="24"/>
        </w:rPr>
        <w:t xml:space="preserve">): </w:t>
      </w:r>
      <w:r w:rsidR="005D3BA2" w:rsidRPr="00241676">
        <w:rPr>
          <w:spacing w:val="-1"/>
          <w:w w:val="105"/>
          <w:sz w:val="24"/>
        </w:rPr>
        <w:t xml:space="preserve">Statistical </w:t>
      </w:r>
      <w:r w:rsidRPr="00241676">
        <w:rPr>
          <w:spacing w:val="-1"/>
          <w:w w:val="105"/>
          <w:sz w:val="24"/>
        </w:rPr>
        <w:t>Inference</w:t>
      </w:r>
      <w:r w:rsidR="000A387D" w:rsidRPr="00241676">
        <w:rPr>
          <w:spacing w:val="-1"/>
          <w:w w:val="105"/>
          <w:sz w:val="24"/>
        </w:rPr>
        <w:t xml:space="preserve"> (2</w:t>
      </w:r>
      <w:r w:rsidR="000A387D" w:rsidRPr="00241676">
        <w:rPr>
          <w:spacing w:val="-1"/>
          <w:w w:val="105"/>
          <w:sz w:val="24"/>
          <w:vertAlign w:val="superscript"/>
        </w:rPr>
        <w:t>nd</w:t>
      </w:r>
      <w:r w:rsidR="000A387D" w:rsidRPr="00241676">
        <w:rPr>
          <w:spacing w:val="-1"/>
          <w:w w:val="105"/>
          <w:sz w:val="24"/>
        </w:rPr>
        <w:t xml:space="preserve"> Ed.)</w:t>
      </w:r>
    </w:p>
    <w:p w14:paraId="1F723D22" w14:textId="4EBDAD92" w:rsidR="00A16C81" w:rsidRPr="00241676" w:rsidRDefault="00A16C81" w:rsidP="00A16C81">
      <w:pPr>
        <w:pStyle w:val="Heading3"/>
        <w:spacing w:before="77"/>
        <w:rPr>
          <w:spacing w:val="-1"/>
          <w:w w:val="105"/>
          <w:sz w:val="24"/>
        </w:rPr>
      </w:pP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7F2D75"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73F758AB" w14:textId="12D6DE12" w:rsidR="000A387D" w:rsidRPr="00241676" w:rsidRDefault="005D3BA2" w:rsidP="000A387D">
      <w:pPr>
        <w:pStyle w:val="Heading3"/>
        <w:numPr>
          <w:ilvl w:val="0"/>
          <w:numId w:val="4"/>
        </w:numPr>
        <w:spacing w:before="77"/>
        <w:rPr>
          <w:spacing w:val="-1"/>
          <w:w w:val="105"/>
          <w:sz w:val="24"/>
        </w:rPr>
      </w:pPr>
      <w:r w:rsidRPr="00241676">
        <w:rPr>
          <w:spacing w:val="-1"/>
          <w:w w:val="105"/>
          <w:sz w:val="24"/>
        </w:rPr>
        <w:t>midterm (50%)</w:t>
      </w:r>
      <w:r w:rsidR="008C3AED" w:rsidRPr="00241676">
        <w:rPr>
          <w:spacing w:val="-1"/>
          <w:w w:val="105"/>
          <w:sz w:val="24"/>
        </w:rPr>
        <w:t xml:space="preserve">: </w:t>
      </w:r>
      <w:r w:rsidR="008C3AED" w:rsidRPr="00241676">
        <w:rPr>
          <w:b/>
          <w:spacing w:val="-1"/>
          <w:w w:val="105"/>
          <w:sz w:val="24"/>
        </w:rPr>
        <w:t>Oct 19</w:t>
      </w:r>
    </w:p>
    <w:p w14:paraId="73119C24" w14:textId="502EB338" w:rsidR="00F32BF4" w:rsidRPr="00241676" w:rsidRDefault="005D3BA2" w:rsidP="000A387D">
      <w:pPr>
        <w:pStyle w:val="Heading3"/>
        <w:numPr>
          <w:ilvl w:val="0"/>
          <w:numId w:val="4"/>
        </w:numPr>
        <w:spacing w:before="77"/>
        <w:rPr>
          <w:spacing w:val="-1"/>
          <w:w w:val="105"/>
          <w:sz w:val="24"/>
        </w:rPr>
      </w:pPr>
      <w:r w:rsidRPr="00241676">
        <w:rPr>
          <w:spacing w:val="-1"/>
          <w:w w:val="105"/>
          <w:sz w:val="24"/>
        </w:rPr>
        <w:t xml:space="preserve">final </w:t>
      </w:r>
      <w:r w:rsidR="000A387D" w:rsidRPr="00241676">
        <w:rPr>
          <w:spacing w:val="-1"/>
          <w:w w:val="105"/>
          <w:sz w:val="24"/>
        </w:rPr>
        <w:t>(50%)</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97EFA"/>
    <w:rsid w:val="001A6384"/>
    <w:rsid w:val="001A6D35"/>
    <w:rsid w:val="001D735E"/>
    <w:rsid w:val="00201D24"/>
    <w:rsid w:val="00205988"/>
    <w:rsid w:val="00241676"/>
    <w:rsid w:val="0029515B"/>
    <w:rsid w:val="002B6C2C"/>
    <w:rsid w:val="002D2DA6"/>
    <w:rsid w:val="00351921"/>
    <w:rsid w:val="0038064F"/>
    <w:rsid w:val="0038191D"/>
    <w:rsid w:val="003E0379"/>
    <w:rsid w:val="0050299F"/>
    <w:rsid w:val="0052404D"/>
    <w:rsid w:val="005D3BA2"/>
    <w:rsid w:val="00601F5B"/>
    <w:rsid w:val="00626216"/>
    <w:rsid w:val="006A3143"/>
    <w:rsid w:val="007E4FE9"/>
    <w:rsid w:val="007F2D75"/>
    <w:rsid w:val="008C16EA"/>
    <w:rsid w:val="008C3AED"/>
    <w:rsid w:val="008D6552"/>
    <w:rsid w:val="00905D18"/>
    <w:rsid w:val="00943FC3"/>
    <w:rsid w:val="00947B65"/>
    <w:rsid w:val="00951BDD"/>
    <w:rsid w:val="009B3EAA"/>
    <w:rsid w:val="009E6AA2"/>
    <w:rsid w:val="00A16C81"/>
    <w:rsid w:val="00B10703"/>
    <w:rsid w:val="00B34B93"/>
    <w:rsid w:val="00B55B12"/>
    <w:rsid w:val="00B577F7"/>
    <w:rsid w:val="00BB026B"/>
    <w:rsid w:val="00BC6FCD"/>
    <w:rsid w:val="00BE73B1"/>
    <w:rsid w:val="00C646F3"/>
    <w:rsid w:val="00C80373"/>
    <w:rsid w:val="00CB3156"/>
    <w:rsid w:val="00D524DE"/>
    <w:rsid w:val="00E5440D"/>
    <w:rsid w:val="00E9569F"/>
    <w:rsid w:val="00EA7BEB"/>
    <w:rsid w:val="00EB31A3"/>
    <w:rsid w:val="00F15D48"/>
    <w:rsid w:val="00F32BF4"/>
    <w:rsid w:val="00F621A8"/>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notebooks.azure.com/"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32</cp:revision>
  <cp:lastPrinted>2018-08-19T01:59:00Z</cp:lastPrinted>
  <dcterms:created xsi:type="dcterms:W3CDTF">2017-08-29T12:51:00Z</dcterms:created>
  <dcterms:modified xsi:type="dcterms:W3CDTF">2018-08-19T02:00:00Z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