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Liliaana Gallego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172176978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${carrera}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2024-06-21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2024-07-05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RFE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56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56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