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-259079</wp:posOffset>
            </wp:positionH>
            <wp:positionV relativeFrom="paragraph">
              <wp:posOffset>-913184</wp:posOffset>
            </wp:positionV>
            <wp:extent cx="1577340" cy="1275690"/>
            <wp:effectExtent b="0" l="0" r="0" t="0"/>
            <wp:wrapNone/>
            <wp:docPr descr="University of Calgary | Drupal.org" id="1746396052" name="image6.jpg"/>
            <a:graphic>
              <a:graphicData uri="http://schemas.openxmlformats.org/drawingml/2006/picture">
                <pic:pic>
                  <pic:nvPicPr>
                    <pic:cNvPr descr="University of Calgary | Drupal.org" id="0" name="image6.jpg"/>
                    <pic:cNvPicPr preferRelativeResize="0"/>
                  </pic:nvPicPr>
                  <pic:blipFill>
                    <a:blip r:embed="rId7"/>
                    <a:srcRect b="0" l="0" r="0" t="0"/>
                    <a:stretch>
                      <a:fillRect/>
                    </a:stretch>
                  </pic:blipFill>
                  <pic:spPr>
                    <a:xfrm>
                      <a:off x="0" y="0"/>
                      <a:ext cx="1577340" cy="1275690"/>
                    </a:xfrm>
                    <a:prstGeom prst="rect"/>
                    <a:ln/>
                  </pic:spPr>
                </pic:pic>
              </a:graphicData>
            </a:graphic>
          </wp:anchor>
        </w:drawing>
      </w:r>
    </w:p>
    <w:p w:rsidR="00000000" w:rsidDel="00000000" w:rsidP="00000000" w:rsidRDefault="00000000" w:rsidRPr="00000000" w14:paraId="00000002">
      <w:pPr>
        <w:jc w:val="center"/>
        <w:rPr>
          <w:b w:val="1"/>
          <w:sz w:val="96"/>
          <w:szCs w:val="96"/>
          <w:u w:val="single"/>
        </w:rPr>
      </w:pPr>
      <w:r w:rsidDel="00000000" w:rsidR="00000000" w:rsidRPr="00000000">
        <w:rPr>
          <w:rtl w:val="0"/>
        </w:rPr>
      </w:r>
    </w:p>
    <w:p w:rsidR="00000000" w:rsidDel="00000000" w:rsidP="00000000" w:rsidRDefault="00000000" w:rsidRPr="00000000" w14:paraId="00000003">
      <w:pPr>
        <w:jc w:val="center"/>
        <w:rPr>
          <w:b w:val="1"/>
          <w:sz w:val="96"/>
          <w:szCs w:val="96"/>
          <w:u w:val="single"/>
        </w:rPr>
      </w:pPr>
      <w:r w:rsidDel="00000000" w:rsidR="00000000" w:rsidRPr="00000000">
        <w:rPr>
          <w:b w:val="1"/>
          <w:sz w:val="96"/>
          <w:szCs w:val="96"/>
          <w:u w:val="single"/>
          <w:rtl w:val="0"/>
        </w:rPr>
        <w:t xml:space="preserve">PROJECT</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sz w:val="28"/>
          <w:szCs w:val="28"/>
          <w:rtl w:val="0"/>
        </w:rPr>
        <w:t xml:space="preserve">Axial Capacity Prediction of Circular Concrete Filled Stainless Steel Tubular Columns Using Machine Learning Algorithms</w:t>
      </w:r>
    </w:p>
    <w:p w:rsidR="00000000" w:rsidDel="00000000" w:rsidP="00000000" w:rsidRDefault="00000000" w:rsidRPr="00000000" w14:paraId="00000006">
      <w:pPr>
        <w:jc w:val="right"/>
        <w:rPr>
          <w:b w:val="1"/>
          <w:sz w:val="24"/>
          <w:szCs w:val="24"/>
        </w:rPr>
      </w:pPr>
      <w:r w:rsidDel="00000000" w:rsidR="00000000" w:rsidRPr="00000000">
        <w:rPr>
          <w:rtl w:val="0"/>
        </w:rPr>
      </w:r>
    </w:p>
    <w:p w:rsidR="00000000" w:rsidDel="00000000" w:rsidP="00000000" w:rsidRDefault="00000000" w:rsidRPr="00000000" w14:paraId="00000007">
      <w:pPr>
        <w:jc w:val="right"/>
        <w:rPr>
          <w:b w:val="1"/>
          <w:sz w:val="24"/>
          <w:szCs w:val="24"/>
        </w:rPr>
      </w:pPr>
      <w:r w:rsidDel="00000000" w:rsidR="00000000" w:rsidRPr="00000000">
        <w:rPr>
          <w:rtl w:val="0"/>
        </w:rPr>
      </w:r>
    </w:p>
    <w:p w:rsidR="00000000" w:rsidDel="00000000" w:rsidP="00000000" w:rsidRDefault="00000000" w:rsidRPr="00000000" w14:paraId="00000008">
      <w:pPr>
        <w:jc w:val="right"/>
        <w:rPr>
          <w:b w:val="1"/>
          <w:sz w:val="24"/>
          <w:szCs w:val="24"/>
        </w:rPr>
      </w:pPr>
      <w:r w:rsidDel="00000000" w:rsidR="00000000" w:rsidRPr="00000000">
        <w:rPr>
          <w:rtl w:val="0"/>
        </w:rPr>
      </w:r>
    </w:p>
    <w:p w:rsidR="00000000" w:rsidDel="00000000" w:rsidP="00000000" w:rsidRDefault="00000000" w:rsidRPr="00000000" w14:paraId="00000009">
      <w:pPr>
        <w:jc w:val="right"/>
        <w:rPr>
          <w:b w:val="1"/>
          <w:sz w:val="24"/>
          <w:szCs w:val="24"/>
        </w:rPr>
      </w:pPr>
      <w:r w:rsidDel="00000000" w:rsidR="00000000" w:rsidRPr="00000000">
        <w:rPr>
          <w:b w:val="1"/>
          <w:sz w:val="24"/>
          <w:szCs w:val="24"/>
          <w:rtl w:val="0"/>
        </w:rPr>
        <w:t xml:space="preserve">Prepared By:</w:t>
      </w:r>
    </w:p>
    <w:p w:rsidR="00000000" w:rsidDel="00000000" w:rsidP="00000000" w:rsidRDefault="00000000" w:rsidRPr="00000000" w14:paraId="0000000A">
      <w:pPr>
        <w:jc w:val="right"/>
        <w:rPr>
          <w:b w:val="1"/>
          <w:sz w:val="24"/>
          <w:szCs w:val="24"/>
        </w:rPr>
      </w:pPr>
      <w:r w:rsidDel="00000000" w:rsidR="00000000" w:rsidRPr="00000000">
        <w:rPr>
          <w:rtl w:val="0"/>
        </w:rPr>
      </w:r>
    </w:p>
    <w:p w:rsidR="00000000" w:rsidDel="00000000" w:rsidP="00000000" w:rsidRDefault="00000000" w:rsidRPr="00000000" w14:paraId="0000000B">
      <w:pPr>
        <w:jc w:val="right"/>
        <w:rPr>
          <w:sz w:val="24"/>
          <w:szCs w:val="24"/>
        </w:rPr>
      </w:pPr>
      <w:r w:rsidDel="00000000" w:rsidR="00000000" w:rsidRPr="00000000">
        <w:rPr>
          <w:sz w:val="24"/>
          <w:szCs w:val="24"/>
          <w:rtl w:val="0"/>
        </w:rPr>
        <w:t xml:space="preserve">Ishpreet Kapoor- UCID: 30226713</w:t>
      </w:r>
    </w:p>
    <w:p w:rsidR="00000000" w:rsidDel="00000000" w:rsidP="00000000" w:rsidRDefault="00000000" w:rsidRPr="00000000" w14:paraId="0000000C">
      <w:pPr>
        <w:jc w:val="right"/>
        <w:rPr>
          <w:sz w:val="24"/>
          <w:szCs w:val="24"/>
        </w:rPr>
      </w:pPr>
      <w:r w:rsidDel="00000000" w:rsidR="00000000" w:rsidRPr="00000000">
        <w:rPr>
          <w:sz w:val="24"/>
          <w:szCs w:val="24"/>
          <w:rtl w:val="0"/>
        </w:rPr>
        <w:t xml:space="preserve">Ishpreet Kapoor- UCID: 30226713</w:t>
      </w:r>
    </w:p>
    <w:p w:rsidR="00000000" w:rsidDel="00000000" w:rsidP="00000000" w:rsidRDefault="00000000" w:rsidRPr="00000000" w14:paraId="0000000D">
      <w:pPr>
        <w:jc w:val="right"/>
        <w:rPr>
          <w:sz w:val="24"/>
          <w:szCs w:val="24"/>
        </w:rPr>
      </w:pPr>
      <w:r w:rsidDel="00000000" w:rsidR="00000000" w:rsidRPr="00000000">
        <w:rPr>
          <w:sz w:val="24"/>
          <w:szCs w:val="24"/>
          <w:rtl w:val="0"/>
        </w:rPr>
        <w:t xml:space="preserve">Ishpreet Kapoor- UCID: 30226713</w:t>
      </w:r>
    </w:p>
    <w:p w:rsidR="00000000" w:rsidDel="00000000" w:rsidP="00000000" w:rsidRDefault="00000000" w:rsidRPr="00000000" w14:paraId="0000000E">
      <w:pPr>
        <w:jc w:val="right"/>
        <w:rPr>
          <w:sz w:val="24"/>
          <w:szCs w:val="24"/>
        </w:rPr>
      </w:pPr>
      <w:r w:rsidDel="00000000" w:rsidR="00000000" w:rsidRPr="00000000">
        <w:rPr>
          <w:sz w:val="24"/>
          <w:szCs w:val="24"/>
          <w:rtl w:val="0"/>
        </w:rPr>
        <w:t xml:space="preserve">Ishpreet Kapoor- UCID: 30226713</w:t>
      </w:r>
    </w:p>
    <w:p w:rsidR="00000000" w:rsidDel="00000000" w:rsidP="00000000" w:rsidRDefault="00000000" w:rsidRPr="00000000" w14:paraId="0000000F">
      <w:pPr>
        <w:jc w:val="right"/>
        <w:rPr>
          <w:sz w:val="24"/>
          <w:szCs w:val="24"/>
        </w:rPr>
      </w:pPr>
      <w:r w:rsidDel="00000000" w:rsidR="00000000" w:rsidRPr="00000000">
        <w:rPr>
          <w:sz w:val="24"/>
          <w:szCs w:val="24"/>
          <w:rtl w:val="0"/>
        </w:rPr>
        <w:t xml:space="preserve">Ishpreet Kapoor- UCID: 30226713</w:t>
      </w:r>
    </w:p>
    <w:p w:rsidR="00000000" w:rsidDel="00000000" w:rsidP="00000000" w:rsidRDefault="00000000" w:rsidRPr="00000000" w14:paraId="00000010">
      <w:pPr>
        <w:jc w:val="right"/>
        <w:rPr>
          <w:sz w:val="24"/>
          <w:szCs w:val="24"/>
        </w:rPr>
      </w:pPr>
      <w:r w:rsidDel="00000000" w:rsidR="00000000" w:rsidRPr="00000000">
        <w:rPr>
          <w:sz w:val="24"/>
          <w:szCs w:val="24"/>
          <w:rtl w:val="0"/>
        </w:rPr>
        <w:t xml:space="preserve">Ishpreet Kapoor- UCID: 30226713</w:t>
      </w:r>
    </w:p>
    <w:p w:rsidR="00000000" w:rsidDel="00000000" w:rsidP="00000000" w:rsidRDefault="00000000" w:rsidRPr="00000000" w14:paraId="00000011">
      <w:pPr>
        <w:jc w:val="right"/>
        <w:rPr>
          <w:sz w:val="24"/>
          <w:szCs w:val="24"/>
        </w:rPr>
      </w:pPr>
      <w:r w:rsidDel="00000000" w:rsidR="00000000" w:rsidRPr="00000000">
        <w:rPr>
          <w:sz w:val="24"/>
          <w:szCs w:val="24"/>
          <w:rtl w:val="0"/>
        </w:rPr>
        <w:t xml:space="preserve">Ishpreet Kapoor- UCID: 30226713</w:t>
      </w:r>
    </w:p>
    <w:p w:rsidR="00000000" w:rsidDel="00000000" w:rsidP="00000000" w:rsidRDefault="00000000" w:rsidRPr="00000000" w14:paraId="00000012">
      <w:pPr>
        <w:jc w:val="right"/>
        <w:rPr>
          <w:sz w:val="24"/>
          <w:szCs w:val="24"/>
        </w:rPr>
      </w:pPr>
      <w:r w:rsidDel="00000000" w:rsidR="00000000" w:rsidRPr="00000000">
        <w:rPr>
          <w:sz w:val="24"/>
          <w:szCs w:val="24"/>
          <w:rtl w:val="0"/>
        </w:rPr>
        <w:t xml:space="preserve">Anthony Kelly- UCID: 30093084</w:t>
      </w:r>
    </w:p>
    <w:p w:rsidR="00000000" w:rsidDel="00000000" w:rsidP="00000000" w:rsidRDefault="00000000" w:rsidRPr="00000000" w14:paraId="00000013">
      <w:pPr>
        <w:jc w:val="right"/>
        <w:rPr>
          <w:sz w:val="24"/>
          <w:szCs w:val="24"/>
        </w:rPr>
      </w:pPr>
      <w:r w:rsidDel="00000000" w:rsidR="00000000" w:rsidRPr="00000000">
        <w:rPr>
          <w:rtl w:val="0"/>
        </w:rPr>
      </w:r>
    </w:p>
    <w:p w:rsidR="00000000" w:rsidDel="00000000" w:rsidP="00000000" w:rsidRDefault="00000000" w:rsidRPr="00000000" w14:paraId="00000014">
      <w:pPr>
        <w:jc w:val="right"/>
        <w:rPr>
          <w:sz w:val="24"/>
          <w:szCs w:val="24"/>
        </w:rPr>
      </w:pPr>
      <w:r w:rsidDel="00000000" w:rsidR="00000000" w:rsidRPr="00000000">
        <w:rPr>
          <w:rtl w:val="0"/>
        </w:rPr>
      </w:r>
    </w:p>
    <w:p w:rsidR="00000000" w:rsidDel="00000000" w:rsidP="00000000" w:rsidRDefault="00000000" w:rsidRPr="00000000" w14:paraId="00000015">
      <w:pPr>
        <w:jc w:val="right"/>
        <w:rPr>
          <w:sz w:val="24"/>
          <w:szCs w:val="24"/>
          <w:u w:val="single"/>
        </w:rPr>
      </w:pPr>
      <w:r w:rsidDel="00000000" w:rsidR="00000000" w:rsidRPr="00000000">
        <w:rPr>
          <w:rtl w:val="0"/>
        </w:rPr>
      </w:r>
    </w:p>
    <w:p w:rsidR="00000000" w:rsidDel="00000000" w:rsidP="00000000" w:rsidRDefault="00000000" w:rsidRPr="00000000" w14:paraId="00000016">
      <w:pPr>
        <w:jc w:val="right"/>
        <w:rPr>
          <w:b w:val="1"/>
          <w:sz w:val="32"/>
          <w:szCs w:val="32"/>
        </w:rPr>
      </w:pPr>
      <w:r w:rsidDel="00000000" w:rsidR="00000000" w:rsidRPr="00000000">
        <w:rPr>
          <w:sz w:val="24"/>
          <w:szCs w:val="24"/>
          <w:u w:val="single"/>
          <w:rtl w:val="0"/>
        </w:rPr>
        <w:t xml:space="preserve">Submitted on: Dec 12, 2023</w:t>
      </w: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jc w:val="center"/>
        <w:rPr/>
      </w:pPr>
      <w:bookmarkStart w:colFirst="0" w:colLast="0" w:name="_heading=h.gjdgxs" w:id="0"/>
      <w:bookmarkEnd w:id="0"/>
      <w:r w:rsidDel="00000000" w:rsidR="00000000" w:rsidRPr="00000000">
        <w:rPr>
          <w:rtl w:val="0"/>
        </w:rPr>
        <w:t xml:space="preserve">ABSTRACT</w:t>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Concrete-filled steel tubular (CFST) columns are quite omnipresent in the construction of Civil Structures owing to their great axial capacity and having advantages of both building materials i.e. concrete and steel negating each other’s downside. Nowadays Concrete-filled stainless-steel tubular (CFSST) columns are being preferred over the traditional concrete-filled steel tubular (CFST) columns given their superior corrosion resistance While extensive experimental and numerical research has been conducted to assess the behavior of CFSST columns under various loading conditions, accurately predicting their axial capacity remains challenging. The distinct properties of stainless steel compared to carbon steel render the existing design code equations for conventional CFST columns unreliable for predicting the strength of the CFSST columns. To address this issue, the Machine Learning (ML) approach has been used. In Structural Engineering the use of Artificial Intelligence (AI) has gained some popularity in academia nowadays to circumvent the limitations of the existing design philosophies.</w:t>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The main aim of this study is to leverage the ML techniques, to overcome the limitations of traditional prediction methods and provide a more reliable solution to estimating the axial capacity of CFSST columns. To achieve this, a comprehensive dataset comprising 422 circular and rectangular CFSST columns has been meticulously compiled from the existing literature about the experimental studies done in the past. This extensive dataset serves as the foundation for developing robust ML models capable of accurately forecasting CFSST column performance.</w:t>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The accuracy of the model is evaluated using a range of performance metrics to ensure a comprehensive assessment. These metrics include coefficient of determination (R2), root mean square error (RMSE), mean absolute error (MAE), Nash-Sutcliffe Model (NSE), and Index of Agreement (d). </w:t>
      </w:r>
    </w:p>
    <w:p w:rsidR="00000000" w:rsidDel="00000000" w:rsidP="00000000" w:rsidRDefault="00000000" w:rsidRPr="00000000" w14:paraId="0000001B">
      <w:pPr>
        <w:jc w:val="both"/>
        <w:rPr>
          <w:sz w:val="24"/>
          <w:szCs w:val="24"/>
        </w:rPr>
      </w:pPr>
      <w:r w:rsidDel="00000000" w:rsidR="00000000" w:rsidRPr="00000000">
        <w:rPr>
          <w:sz w:val="24"/>
          <w:szCs w:val="24"/>
          <w:highlight w:val="yellow"/>
          <w:rtl w:val="0"/>
        </w:rPr>
        <w:t xml:space="preserve">Mention about the ML algorithms used and point out the findings i.e. the best one etc.</w:t>
      </w: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To demonstrate the validity and exceptional performance of the top-performing </w:t>
      </w:r>
      <w:r w:rsidDel="00000000" w:rsidR="00000000" w:rsidRPr="00000000">
        <w:rPr>
          <w:sz w:val="24"/>
          <w:szCs w:val="24"/>
          <w:highlight w:val="yellow"/>
          <w:rtl w:val="0"/>
        </w:rPr>
        <w:t xml:space="preserve">____________</w:t>
      </w:r>
      <w:r w:rsidDel="00000000" w:rsidR="00000000" w:rsidRPr="00000000">
        <w:rPr>
          <w:sz w:val="24"/>
          <w:szCs w:val="24"/>
          <w:rtl w:val="0"/>
        </w:rPr>
        <w:t xml:space="preserve"> machine learning model, the predictions/results are then compared against the prediction from the most commonly and widely used design codes around the world. </w:t>
      </w: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jc w:val="center"/>
        <w:rPr/>
      </w:pPr>
      <w:bookmarkStart w:colFirst="0" w:colLast="0" w:name="_heading=h.30j0zll" w:id="1"/>
      <w:bookmarkEnd w:id="1"/>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ABSTRACT</w:t>
              <w:tab/>
              <w:t xml:space="preserve">2</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TABLE OF CONTENTS</w:t>
              <w:tab/>
              <w:t xml:space="preserve">3</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OF FIGURES</w:t>
              <w:tab/>
              <w:t xml:space="preserve">4</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OF TABLES</w:t>
              <w:tab/>
              <w:t xml:space="preserve">5</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NOTATIONS</w:t>
              <w:tab/>
              <w:t xml:space="preserve">6</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OF ABBREVIATIONS</w:t>
              <w:tab/>
              <w:t xml:space="preserve">6</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CHAPTER 1: INTRODUCTION</w:t>
              <w:tab/>
              <w:t xml:space="preserve">8</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CHAPTER 2: DATABASE FOR CFSST COLUMN AXIAL CAPACITY PREDICTION</w:t>
              <w:tab/>
              <w:t xml:space="preserve">9</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REFERENCES</w:t>
              <w:tab/>
              <w:t xml:space="preserve">13</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Database:</w:t>
              <w:tab/>
              <w:t xml:space="preserve">13</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44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jc w:val="center"/>
        <w:rPr/>
      </w:pPr>
      <w:bookmarkStart w:colFirst="0" w:colLast="0" w:name="_heading=h.1fob9te" w:id="2"/>
      <w:bookmarkEnd w:id="2"/>
      <w:r w:rsidDel="00000000" w:rsidR="00000000" w:rsidRPr="00000000">
        <w:rPr>
          <w:rtl w:val="0"/>
        </w:rPr>
        <w:t xml:space="preserve">LIST OF FIGURES</w:t>
      </w:r>
    </w:p>
    <w:sdt>
      <w:sdtPr>
        <w:docPartObj>
          <w:docPartGallery w:val="Table of Contents"/>
          <w:docPartUnique w:val="1"/>
        </w:docPartObj>
      </w:sdtPr>
      <w:sdtContent>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1: Correlation matrix for Rectangular CFSST columns</w:t>
              <w:tab/>
              <w:t xml:space="preserve">10</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Figure 2: Correlation matrix for Circular CFSST columns.</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Figure 3: Histograms for parameters of Rectangular CFSST columns.</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Figure 4: Histograms for parameters of Circular CFSST columns.</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jc w:val="center"/>
        <w:rPr/>
      </w:pPr>
      <w:bookmarkStart w:colFirst="0" w:colLast="0" w:name="_heading=h.3znysh7" w:id="3"/>
      <w:bookmarkEnd w:id="3"/>
      <w:r w:rsidDel="00000000" w:rsidR="00000000" w:rsidRPr="00000000">
        <w:rPr>
          <w:rtl w:val="0"/>
        </w:rPr>
        <w:t xml:space="preserve">LIST OF TABLES</w:t>
      </w:r>
    </w:p>
    <w:sdt>
      <w:sdtPr>
        <w:docPartObj>
          <w:docPartGallery w:val="Table of Contents"/>
          <w:docPartUnique w:val="1"/>
        </w:docPartObj>
      </w:sdtPr>
      <w:sdtContent>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 1: Mean and Standard Deviation for input parameters</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rPr/>
      </w:pPr>
      <w:bookmarkStart w:colFirst="0" w:colLast="0" w:name="_heading=h.2et92p0" w:id="4"/>
      <w:bookmarkEnd w:id="4"/>
      <w:r w:rsidDel="00000000" w:rsidR="00000000" w:rsidRPr="00000000">
        <w:rPr>
          <w:rtl w:val="0"/>
        </w:rPr>
        <w:t xml:space="preserve">NOTATIONS</w:t>
      </w:r>
    </w:p>
    <w:tbl>
      <w:tblPr>
        <w:tblStyle w:val="Table1"/>
        <w:tblpPr w:leftFromText="180" w:rightFromText="180" w:topFromText="0" w:bottomFromText="0" w:vertAnchor="text" w:horzAnchor="text" w:tblpX="0" w:tblpY="1"/>
        <w:tblW w:w="9360.0" w:type="dxa"/>
        <w:jc w:val="left"/>
        <w:tblBorders>
          <w:top w:color="000000"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812"/>
        <w:gridCol w:w="7548"/>
        <w:tblGridChange w:id="0">
          <w:tblGrid>
            <w:gridCol w:w="1812"/>
            <w:gridCol w:w="7548"/>
          </w:tblGrid>
        </w:tblGridChange>
      </w:tblGrid>
      <w:tr>
        <w:trPr>
          <w:cantSplit w:val="0"/>
          <w:trHeight w:val="351" w:hRule="atLeast"/>
          <w:tblHeader w:val="0"/>
        </w:trPr>
        <w:tc>
          <w:tcPr>
            <w:tcBorders>
              <w:right w:color="000000" w:space="0" w:sz="4" w:val="single"/>
            </w:tcBorders>
            <w:vAlign w:val="center"/>
          </w:tcPr>
          <w:p w:rsidR="00000000" w:rsidDel="00000000" w:rsidP="00000000" w:rsidRDefault="00000000" w:rsidRPr="00000000" w14:paraId="00000035">
            <w:pPr>
              <w:spacing w:line="360" w:lineRule="auto"/>
              <w:jc w:val="center"/>
              <w:rPr>
                <w:sz w:val="8"/>
                <w:szCs w:val="8"/>
              </w:rPr>
            </w:pPr>
            <w:r w:rsidDel="00000000" w:rsidR="00000000" w:rsidRPr="00000000">
              <w:rPr>
                <w:rtl w:val="0"/>
              </w:rPr>
            </w:r>
          </w:p>
          <w:p w:rsidR="00000000" w:rsidDel="00000000" w:rsidP="00000000" w:rsidRDefault="00000000" w:rsidRPr="00000000" w14:paraId="00000036">
            <w:pPr>
              <w:spacing w:line="360" w:lineRule="auto"/>
              <w:jc w:val="center"/>
              <w:rPr>
                <w:sz w:val="24"/>
                <w:szCs w:val="24"/>
              </w:rPr>
            </w:pPr>
            <w:r w:rsidDel="00000000" w:rsidR="00000000" w:rsidRPr="00000000">
              <w:rPr>
                <w:sz w:val="24"/>
                <w:szCs w:val="24"/>
                <w:rtl w:val="0"/>
              </w:rPr>
              <w:t xml:space="preserve">D</w:t>
            </w:r>
          </w:p>
        </w:tc>
        <w:tc>
          <w:tcPr>
            <w:vAlign w:val="center"/>
          </w:tcPr>
          <w:p w:rsidR="00000000" w:rsidDel="00000000" w:rsidP="00000000" w:rsidRDefault="00000000" w:rsidRPr="00000000" w14:paraId="00000037">
            <w:pPr>
              <w:spacing w:line="360" w:lineRule="auto"/>
              <w:rPr>
                <w:sz w:val="24"/>
                <w:szCs w:val="24"/>
              </w:rPr>
            </w:pPr>
            <w:r w:rsidDel="00000000" w:rsidR="00000000" w:rsidRPr="00000000">
              <w:rPr>
                <w:sz w:val="24"/>
                <w:szCs w:val="24"/>
                <w:rtl w:val="0"/>
              </w:rPr>
              <w:t xml:space="preserve">Diameter of the Circular Column</w:t>
            </w:r>
          </w:p>
        </w:tc>
      </w:tr>
      <w:tr>
        <w:trPr>
          <w:cantSplit w:val="0"/>
          <w:trHeight w:val="253" w:hRule="atLeast"/>
          <w:tblHeader w:val="0"/>
        </w:trPr>
        <w:tc>
          <w:tcPr>
            <w:tcBorders>
              <w:right w:color="000000" w:space="0" w:sz="4" w:val="single"/>
            </w:tcBorders>
            <w:vAlign w:val="center"/>
          </w:tcPr>
          <w:p w:rsidR="00000000" w:rsidDel="00000000" w:rsidP="00000000" w:rsidRDefault="00000000" w:rsidRPr="00000000" w14:paraId="00000038">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t</m:t>
              </m:r>
            </m:oMath>
            <w:r w:rsidDel="00000000" w:rsidR="00000000" w:rsidRPr="00000000">
              <w:rPr>
                <w:rtl w:val="0"/>
              </w:rPr>
            </w:r>
          </w:p>
        </w:tc>
        <w:tc>
          <w:tcPr>
            <w:vAlign w:val="center"/>
          </w:tcPr>
          <w:p w:rsidR="00000000" w:rsidDel="00000000" w:rsidP="00000000" w:rsidRDefault="00000000" w:rsidRPr="00000000" w14:paraId="00000039">
            <w:pPr>
              <w:spacing w:line="360" w:lineRule="auto"/>
              <w:rPr>
                <w:sz w:val="24"/>
                <w:szCs w:val="24"/>
              </w:rPr>
            </w:pPr>
            <w:r w:rsidDel="00000000" w:rsidR="00000000" w:rsidRPr="00000000">
              <w:rPr>
                <w:sz w:val="24"/>
                <w:szCs w:val="24"/>
                <w:rtl w:val="0"/>
              </w:rPr>
              <w:t xml:space="preserve">Thickness of Stainless-Steel Tube</w:t>
            </w:r>
          </w:p>
        </w:tc>
      </w:tr>
      <w:tr>
        <w:trPr>
          <w:cantSplit w:val="0"/>
          <w:trHeight w:val="253" w:hRule="atLeast"/>
          <w:tblHeader w:val="0"/>
        </w:trPr>
        <w:tc>
          <w:tcPr>
            <w:tcBorders>
              <w:right w:color="000000" w:space="0" w:sz="4" w:val="single"/>
            </w:tcBorders>
            <w:vAlign w:val="center"/>
          </w:tcPr>
          <w:p w:rsidR="00000000" w:rsidDel="00000000" w:rsidP="00000000" w:rsidRDefault="00000000" w:rsidRPr="00000000" w14:paraId="0000003A">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H</m:t>
              </m:r>
            </m:oMath>
            <w:r w:rsidDel="00000000" w:rsidR="00000000" w:rsidRPr="00000000">
              <w:rPr>
                <w:rtl w:val="0"/>
              </w:rPr>
            </w:r>
          </w:p>
        </w:tc>
        <w:tc>
          <w:tcPr>
            <w:vAlign w:val="center"/>
          </w:tcPr>
          <w:p w:rsidR="00000000" w:rsidDel="00000000" w:rsidP="00000000" w:rsidRDefault="00000000" w:rsidRPr="00000000" w14:paraId="0000003B">
            <w:pPr>
              <w:spacing w:line="360" w:lineRule="auto"/>
              <w:rPr>
                <w:sz w:val="24"/>
                <w:szCs w:val="24"/>
              </w:rPr>
            </w:pPr>
            <w:r w:rsidDel="00000000" w:rsidR="00000000" w:rsidRPr="00000000">
              <w:rPr>
                <w:sz w:val="24"/>
                <w:szCs w:val="24"/>
                <w:rtl w:val="0"/>
              </w:rPr>
              <w:t xml:space="preserve">Height of the Rectangular Column</w:t>
            </w:r>
          </w:p>
        </w:tc>
      </w:tr>
      <w:tr>
        <w:trPr>
          <w:cantSplit w:val="0"/>
          <w:trHeight w:val="253" w:hRule="atLeast"/>
          <w:tblHeader w:val="0"/>
        </w:trPr>
        <w:tc>
          <w:tcPr>
            <w:tcBorders>
              <w:right w:color="000000" w:space="0" w:sz="4" w:val="single"/>
            </w:tcBorders>
            <w:vAlign w:val="center"/>
          </w:tcPr>
          <w:p w:rsidR="00000000" w:rsidDel="00000000" w:rsidP="00000000" w:rsidRDefault="00000000" w:rsidRPr="00000000" w14:paraId="0000003C">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B</m:t>
              </m:r>
            </m:oMath>
            <w:r w:rsidDel="00000000" w:rsidR="00000000" w:rsidRPr="00000000">
              <w:rPr>
                <w:rtl w:val="0"/>
              </w:rPr>
            </w:r>
          </w:p>
        </w:tc>
        <w:tc>
          <w:tcPr>
            <w:vAlign w:val="center"/>
          </w:tcPr>
          <w:p w:rsidR="00000000" w:rsidDel="00000000" w:rsidP="00000000" w:rsidRDefault="00000000" w:rsidRPr="00000000" w14:paraId="0000003D">
            <w:pPr>
              <w:spacing w:line="360" w:lineRule="auto"/>
              <w:rPr>
                <w:sz w:val="24"/>
                <w:szCs w:val="24"/>
              </w:rPr>
            </w:pPr>
            <w:r w:rsidDel="00000000" w:rsidR="00000000" w:rsidRPr="00000000">
              <w:rPr>
                <w:sz w:val="24"/>
                <w:szCs w:val="24"/>
                <w:rtl w:val="0"/>
              </w:rPr>
              <w:t xml:space="preserve">Width of the Rectangular Column</w:t>
            </w:r>
          </w:p>
        </w:tc>
      </w:tr>
      <w:tr>
        <w:trPr>
          <w:cantSplit w:val="0"/>
          <w:trHeight w:val="253" w:hRule="atLeast"/>
          <w:tblHeader w:val="0"/>
        </w:trPr>
        <w:tc>
          <w:tcPr>
            <w:tcBorders>
              <w:right w:color="000000" w:space="0" w:sz="4" w:val="single"/>
            </w:tcBorders>
            <w:vAlign w:val="center"/>
          </w:tcPr>
          <w:p w:rsidR="00000000" w:rsidDel="00000000" w:rsidP="00000000" w:rsidRDefault="00000000" w:rsidRPr="00000000" w14:paraId="0000003E">
            <w:pPr>
              <w:spacing w:line="360" w:lineRule="auto"/>
              <w:jc w:val="center"/>
              <w:rPr>
                <w:sz w:val="24"/>
                <w:szCs w:val="24"/>
              </w:rPr>
            </w:pPr>
            <w:r w:rsidDel="00000000" w:rsidR="00000000" w:rsidRPr="00000000">
              <w:rPr>
                <w:sz w:val="24"/>
                <w:szCs w:val="24"/>
                <w:rtl w:val="0"/>
              </w:rPr>
              <w:t xml:space="preserve">L</w:t>
            </w:r>
          </w:p>
        </w:tc>
        <w:tc>
          <w:tcPr>
            <w:vAlign w:val="center"/>
          </w:tcPr>
          <w:p w:rsidR="00000000" w:rsidDel="00000000" w:rsidP="00000000" w:rsidRDefault="00000000" w:rsidRPr="00000000" w14:paraId="0000003F">
            <w:pPr>
              <w:spacing w:line="360" w:lineRule="auto"/>
              <w:rPr>
                <w:sz w:val="24"/>
                <w:szCs w:val="24"/>
              </w:rPr>
            </w:pPr>
            <w:r w:rsidDel="00000000" w:rsidR="00000000" w:rsidRPr="00000000">
              <w:rPr>
                <w:sz w:val="24"/>
                <w:szCs w:val="24"/>
                <w:rtl w:val="0"/>
              </w:rPr>
              <w:t xml:space="preserve">Length of the Specimen</w:t>
            </w:r>
          </w:p>
        </w:tc>
      </w:tr>
      <w:tr>
        <w:trPr>
          <w:cantSplit w:val="0"/>
          <w:trHeight w:val="253" w:hRule="atLeast"/>
          <w:tblHeader w:val="0"/>
        </w:trPr>
        <w:tc>
          <w:tcPr>
            <w:tcBorders>
              <w:right w:color="000000" w:space="0" w:sz="4" w:val="single"/>
            </w:tcBorders>
            <w:vAlign w:val="center"/>
          </w:tcPr>
          <w:p w:rsidR="00000000" w:rsidDel="00000000" w:rsidP="00000000" w:rsidRDefault="00000000" w:rsidRPr="00000000" w14:paraId="00000040">
            <w:pPr>
              <w:jc w:val="center"/>
              <w:rPr>
                <w:rFonts w:ascii="Cambria Math" w:cs="Cambria Math" w:eastAsia="Cambria Math" w:hAnsi="Cambria Math"/>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E</m:t>
                  </m:r>
                </m:e>
                <m:sub>
                  <m:r>
                    <w:rPr>
                      <w:rFonts w:ascii="Cambria Math" w:cs="Cambria Math" w:eastAsia="Cambria Math" w:hAnsi="Cambria Math"/>
                      <w:sz w:val="24"/>
                      <w:szCs w:val="24"/>
                    </w:rPr>
                    <m:t xml:space="preserve">o</m:t>
                  </m:r>
                </m:sub>
              </m:sSub>
            </m:oMath>
            <w:r w:rsidDel="00000000" w:rsidR="00000000" w:rsidRPr="00000000">
              <w:rPr>
                <w:rtl w:val="0"/>
              </w:rPr>
            </w:r>
          </w:p>
        </w:tc>
        <w:tc>
          <w:tcPr>
            <w:vAlign w:val="center"/>
          </w:tcPr>
          <w:p w:rsidR="00000000" w:rsidDel="00000000" w:rsidP="00000000" w:rsidRDefault="00000000" w:rsidRPr="00000000" w14:paraId="00000041">
            <w:pPr>
              <w:spacing w:line="360" w:lineRule="auto"/>
              <w:rPr>
                <w:sz w:val="24"/>
                <w:szCs w:val="24"/>
              </w:rPr>
            </w:pPr>
            <w:r w:rsidDel="00000000" w:rsidR="00000000" w:rsidRPr="00000000">
              <w:rPr>
                <w:sz w:val="24"/>
                <w:szCs w:val="24"/>
                <w:rtl w:val="0"/>
              </w:rPr>
              <w:t xml:space="preserve">Modulus of Elasticity of Stainless Steel</w:t>
            </w:r>
          </w:p>
        </w:tc>
      </w:tr>
      <w:tr>
        <w:trPr>
          <w:cantSplit w:val="0"/>
          <w:trHeight w:val="253" w:hRule="atLeast"/>
          <w:tblHeader w:val="0"/>
        </w:trPr>
        <w:tc>
          <w:tcPr>
            <w:tcBorders>
              <w:right w:color="000000" w:space="0" w:sz="4" w:val="single"/>
            </w:tcBorders>
            <w:vAlign w:val="center"/>
          </w:tcPr>
          <w:p w:rsidR="00000000" w:rsidDel="00000000" w:rsidP="00000000" w:rsidRDefault="00000000" w:rsidRPr="00000000" w14:paraId="00000042">
            <w:pPr>
              <w:jc w:val="center"/>
              <w:rPr>
                <w:rFonts w:ascii="Cambria Math" w:cs="Cambria Math" w:eastAsia="Cambria Math" w:hAnsi="Cambria Math"/>
                <w:sz w:val="24"/>
                <w:szCs w:val="24"/>
              </w:rPr>
            </w:pPr>
            <m:oMath>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f</m:t>
                      </m:r>
                    </m:e>
                    <m:sub>
                      <m:r>
                        <w:rPr>
                          <w:rFonts w:ascii="Cambria Math" w:cs="Cambria Math" w:eastAsia="Cambria Math" w:hAnsi="Cambria Math"/>
                          <w:sz w:val="24"/>
                          <w:szCs w:val="24"/>
                        </w:rPr>
                        <m:t xml:space="preserve">c</m:t>
                      </m:r>
                    </m:sub>
                  </m:sSub>
                </m:e>
                <m:sup>
                  <m:r>
                    <w:rPr>
                      <w:rFonts w:ascii="Cambria Math" w:cs="Cambria Math" w:eastAsia="Cambria Math" w:hAnsi="Cambria Math"/>
                      <w:sz w:val="24"/>
                      <w:szCs w:val="24"/>
                    </w:rPr>
                    <m:t xml:space="preserve">'</m:t>
                  </m:r>
                </m:sup>
              </m:sSup>
            </m:oMath>
            <w:r w:rsidDel="00000000" w:rsidR="00000000" w:rsidRPr="00000000">
              <w:rPr>
                <w:rtl w:val="0"/>
              </w:rPr>
            </w:r>
          </w:p>
        </w:tc>
        <w:tc>
          <w:tcPr>
            <w:vAlign w:val="center"/>
          </w:tcPr>
          <w:p w:rsidR="00000000" w:rsidDel="00000000" w:rsidP="00000000" w:rsidRDefault="00000000" w:rsidRPr="00000000" w14:paraId="00000043">
            <w:pPr>
              <w:spacing w:line="360" w:lineRule="auto"/>
              <w:rPr>
                <w:sz w:val="24"/>
                <w:szCs w:val="24"/>
              </w:rPr>
            </w:pPr>
            <w:r w:rsidDel="00000000" w:rsidR="00000000" w:rsidRPr="00000000">
              <w:rPr>
                <w:sz w:val="24"/>
                <w:szCs w:val="24"/>
                <w:rtl w:val="0"/>
              </w:rPr>
              <w:t xml:space="preserve">Cylindrical Compressive Strength of Concrete</w:t>
            </w:r>
          </w:p>
        </w:tc>
      </w:tr>
      <w:tr>
        <w:trPr>
          <w:cantSplit w:val="0"/>
          <w:trHeight w:val="253" w:hRule="atLeast"/>
          <w:tblHeader w:val="0"/>
        </w:trPr>
        <w:tc>
          <w:tcPr>
            <w:tcBorders>
              <w:right w:color="000000" w:space="0" w:sz="4" w:val="single"/>
            </w:tcBorders>
            <w:vAlign w:val="center"/>
          </w:tcPr>
          <w:p w:rsidR="00000000" w:rsidDel="00000000" w:rsidP="00000000" w:rsidRDefault="00000000" w:rsidRPr="00000000" w14:paraId="00000044">
            <w:pPr>
              <w:jc w:val="center"/>
              <w:rPr>
                <w:rFonts w:ascii="Cambria Math" w:cs="Cambria Math" w:eastAsia="Cambria Math" w:hAnsi="Cambria Math"/>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f</m:t>
                  </m:r>
                </m:e>
                <m:sub>
                  <m:r>
                    <w:rPr>
                      <w:rFonts w:ascii="Cambria Math" w:cs="Cambria Math" w:eastAsia="Cambria Math" w:hAnsi="Cambria Math"/>
                      <w:sz w:val="24"/>
                      <w:szCs w:val="24"/>
                    </w:rPr>
                    <m:t xml:space="preserve">u</m:t>
                  </m:r>
                </m:sub>
              </m:sSub>
            </m:oMath>
            <w:r w:rsidDel="00000000" w:rsidR="00000000" w:rsidRPr="00000000">
              <w:rPr>
                <w:rtl w:val="0"/>
              </w:rPr>
            </w:r>
          </w:p>
        </w:tc>
        <w:tc>
          <w:tcPr>
            <w:vAlign w:val="center"/>
          </w:tcPr>
          <w:p w:rsidR="00000000" w:rsidDel="00000000" w:rsidP="00000000" w:rsidRDefault="00000000" w:rsidRPr="00000000" w14:paraId="00000045">
            <w:pPr>
              <w:spacing w:line="360" w:lineRule="auto"/>
              <w:rPr>
                <w:sz w:val="24"/>
                <w:szCs w:val="24"/>
              </w:rPr>
            </w:pPr>
            <w:r w:rsidDel="00000000" w:rsidR="00000000" w:rsidRPr="00000000">
              <w:rPr>
                <w:sz w:val="24"/>
                <w:szCs w:val="24"/>
                <w:rtl w:val="0"/>
              </w:rPr>
              <w:t xml:space="preserve">Ultimate Strength of Stainless Steel </w:t>
            </w:r>
          </w:p>
        </w:tc>
      </w:tr>
      <w:tr>
        <w:trPr>
          <w:cantSplit w:val="0"/>
          <w:trHeight w:val="253" w:hRule="atLeast"/>
          <w:tblHeader w:val="0"/>
        </w:trPr>
        <w:tc>
          <w:tcPr>
            <w:tcBorders>
              <w:right w:color="000000" w:space="0" w:sz="4" w:val="single"/>
            </w:tcBorders>
            <w:vAlign w:val="center"/>
          </w:tcPr>
          <w:p w:rsidR="00000000" w:rsidDel="00000000" w:rsidP="00000000" w:rsidRDefault="00000000" w:rsidRPr="00000000" w14:paraId="00000046">
            <w:pPr>
              <w:jc w:val="center"/>
              <w:rPr>
                <w:rFonts w:ascii="Cambria Math" w:cs="Cambria Math" w:eastAsia="Cambria Math" w:hAnsi="Cambria Math"/>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f</m:t>
                  </m:r>
                </m:e>
                <m:sub>
                  <m:r>
                    <w:rPr>
                      <w:rFonts w:ascii="Cambria Math" w:cs="Cambria Math" w:eastAsia="Cambria Math" w:hAnsi="Cambria Math"/>
                      <w:sz w:val="24"/>
                      <w:szCs w:val="24"/>
                    </w:rPr>
                    <m:t xml:space="preserve">0.2</m:t>
                  </m:r>
                </m:sub>
              </m:sSub>
            </m:oMath>
            <w:r w:rsidDel="00000000" w:rsidR="00000000" w:rsidRPr="00000000">
              <w:rPr>
                <w:rtl w:val="0"/>
              </w:rPr>
            </w:r>
          </w:p>
        </w:tc>
        <w:tc>
          <w:tcPr>
            <w:vAlign w:val="center"/>
          </w:tcPr>
          <w:p w:rsidR="00000000" w:rsidDel="00000000" w:rsidP="00000000" w:rsidRDefault="00000000" w:rsidRPr="00000000" w14:paraId="00000047">
            <w:pPr>
              <w:spacing w:line="360" w:lineRule="auto"/>
              <w:rPr>
                <w:sz w:val="24"/>
                <w:szCs w:val="24"/>
              </w:rPr>
            </w:pPr>
            <w:r w:rsidDel="00000000" w:rsidR="00000000" w:rsidRPr="00000000">
              <w:rPr>
                <w:sz w:val="24"/>
                <w:szCs w:val="24"/>
                <w:rtl w:val="0"/>
              </w:rPr>
              <w:t xml:space="preserve">0.2% Proof Stress of Stainless Steel </w:t>
            </w:r>
          </w:p>
        </w:tc>
      </w:tr>
      <w:tr>
        <w:trPr>
          <w:cantSplit w:val="0"/>
          <w:trHeight w:val="253" w:hRule="atLeast"/>
          <w:tblHeader w:val="0"/>
        </w:trPr>
        <w:tc>
          <w:tcPr>
            <w:tcBorders>
              <w:right w:color="000000" w:space="0" w:sz="4" w:val="single"/>
            </w:tcBorders>
            <w:vAlign w:val="center"/>
          </w:tcPr>
          <w:p w:rsidR="00000000" w:rsidDel="00000000" w:rsidP="00000000" w:rsidRDefault="00000000" w:rsidRPr="00000000" w14:paraId="00000048">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n</m:t>
              </m:r>
            </m:oMath>
            <w:r w:rsidDel="00000000" w:rsidR="00000000" w:rsidRPr="00000000">
              <w:rPr>
                <w:rtl w:val="0"/>
              </w:rPr>
            </w:r>
          </w:p>
        </w:tc>
        <w:tc>
          <w:tcPr>
            <w:vAlign w:val="center"/>
          </w:tcPr>
          <w:p w:rsidR="00000000" w:rsidDel="00000000" w:rsidP="00000000" w:rsidRDefault="00000000" w:rsidRPr="00000000" w14:paraId="00000049">
            <w:pPr>
              <w:spacing w:line="360" w:lineRule="auto"/>
              <w:rPr>
                <w:sz w:val="24"/>
                <w:szCs w:val="24"/>
              </w:rPr>
            </w:pPr>
            <w:r w:rsidDel="00000000" w:rsidR="00000000" w:rsidRPr="00000000">
              <w:rPr>
                <w:sz w:val="24"/>
                <w:szCs w:val="24"/>
                <w:rtl w:val="0"/>
              </w:rPr>
              <w:t xml:space="preserve">Strain-Hardening Exponent</w:t>
            </w:r>
          </w:p>
        </w:tc>
      </w:tr>
      <w:tr>
        <w:trPr>
          <w:cantSplit w:val="0"/>
          <w:trHeight w:val="253" w:hRule="atLeast"/>
          <w:tblHeader w:val="0"/>
        </w:trPr>
        <w:tc>
          <w:tcPr>
            <w:tcBorders>
              <w:right w:color="000000" w:space="0" w:sz="4" w:val="single"/>
            </w:tcBorders>
            <w:vAlign w:val="center"/>
          </w:tcPr>
          <w:p w:rsidR="00000000" w:rsidDel="00000000" w:rsidP="00000000" w:rsidRDefault="00000000" w:rsidRPr="00000000" w14:paraId="0000004A">
            <w:pPr>
              <w:spacing w:line="360" w:lineRule="auto"/>
              <w:jc w:val="center"/>
              <w:rPr>
                <w:sz w:val="24"/>
                <w:szCs w:val="24"/>
              </w:rPr>
            </w:pPr>
            <w:r w:rsidDel="00000000" w:rsidR="00000000" w:rsidRPr="00000000">
              <w:rPr>
                <w:rtl w:val="0"/>
              </w:rPr>
            </w:r>
          </w:p>
        </w:tc>
        <w:tc>
          <w:tcPr>
            <w:vAlign w:val="center"/>
          </w:tcPr>
          <w:p w:rsidR="00000000" w:rsidDel="00000000" w:rsidP="00000000" w:rsidRDefault="00000000" w:rsidRPr="00000000" w14:paraId="0000004B">
            <w:pPr>
              <w:spacing w:line="360" w:lineRule="auto"/>
              <w:rPr>
                <w:sz w:val="24"/>
                <w:szCs w:val="24"/>
              </w:rPr>
            </w:pPr>
            <w:r w:rsidDel="00000000" w:rsidR="00000000" w:rsidRPr="00000000">
              <w:rPr>
                <w:rtl w:val="0"/>
              </w:rPr>
            </w:r>
          </w:p>
        </w:tc>
      </w:tr>
      <w:tr>
        <w:trPr>
          <w:cantSplit w:val="0"/>
          <w:trHeight w:val="253" w:hRule="atLeast"/>
          <w:tblHeader w:val="0"/>
        </w:trPr>
        <w:tc>
          <w:tcPr>
            <w:tcBorders>
              <w:right w:color="000000" w:space="0" w:sz="4" w:val="single"/>
            </w:tcBorders>
            <w:vAlign w:val="center"/>
          </w:tcPr>
          <w:p w:rsidR="00000000" w:rsidDel="00000000" w:rsidP="00000000" w:rsidRDefault="00000000" w:rsidRPr="00000000" w14:paraId="0000004C">
            <w:pPr>
              <w:spacing w:line="360" w:lineRule="auto"/>
              <w:jc w:val="center"/>
              <w:rPr>
                <w:sz w:val="24"/>
                <w:szCs w:val="24"/>
              </w:rPr>
            </w:pPr>
            <w:r w:rsidDel="00000000" w:rsidR="00000000" w:rsidRPr="00000000">
              <w:rPr>
                <w:rtl w:val="0"/>
              </w:rPr>
            </w:r>
          </w:p>
        </w:tc>
        <w:tc>
          <w:tcPr>
            <w:vAlign w:val="center"/>
          </w:tcPr>
          <w:p w:rsidR="00000000" w:rsidDel="00000000" w:rsidP="00000000" w:rsidRDefault="00000000" w:rsidRPr="00000000" w14:paraId="0000004D">
            <w:pPr>
              <w:spacing w:line="360" w:lineRule="auto"/>
              <w:rPr>
                <w:sz w:val="24"/>
                <w:szCs w:val="24"/>
              </w:rPr>
            </w:pPr>
            <w:r w:rsidDel="00000000" w:rsidR="00000000" w:rsidRPr="00000000">
              <w:rPr>
                <w:rtl w:val="0"/>
              </w:rPr>
            </w:r>
          </w:p>
        </w:tc>
      </w:tr>
      <w:tr>
        <w:trPr>
          <w:cantSplit w:val="0"/>
          <w:trHeight w:val="333" w:hRule="atLeast"/>
          <w:tblHeader w:val="0"/>
        </w:trPr>
        <w:tc>
          <w:tcPr>
            <w:tcBorders>
              <w:right w:color="000000" w:space="0" w:sz="4" w:val="single"/>
            </w:tcBorders>
            <w:vAlign w:val="center"/>
          </w:tcPr>
          <w:p w:rsidR="00000000" w:rsidDel="00000000" w:rsidP="00000000" w:rsidRDefault="00000000" w:rsidRPr="00000000" w14:paraId="0000004E">
            <w:pPr>
              <w:spacing w:line="360" w:lineRule="auto"/>
              <w:jc w:val="center"/>
              <w:rPr>
                <w:sz w:val="24"/>
                <w:szCs w:val="24"/>
              </w:rPr>
            </w:pPr>
            <w:r w:rsidDel="00000000" w:rsidR="00000000" w:rsidRPr="00000000">
              <w:rPr>
                <w:rtl w:val="0"/>
              </w:rPr>
            </w:r>
          </w:p>
        </w:tc>
        <w:tc>
          <w:tcPr>
            <w:vAlign w:val="center"/>
          </w:tcPr>
          <w:p w:rsidR="00000000" w:rsidDel="00000000" w:rsidP="00000000" w:rsidRDefault="00000000" w:rsidRPr="00000000" w14:paraId="0000004F">
            <w:pPr>
              <w:spacing w:line="360" w:lineRule="auto"/>
              <w:rPr>
                <w:sz w:val="24"/>
                <w:szCs w:val="24"/>
              </w:rPr>
            </w:pPr>
            <w:r w:rsidDel="00000000" w:rsidR="00000000" w:rsidRPr="00000000">
              <w:rPr>
                <w:rtl w:val="0"/>
              </w:rPr>
            </w:r>
          </w:p>
        </w:tc>
      </w:tr>
      <w:tr>
        <w:trPr>
          <w:cantSplit w:val="0"/>
          <w:trHeight w:val="253" w:hRule="atLeast"/>
          <w:tblHeader w:val="0"/>
        </w:trPr>
        <w:tc>
          <w:tcPr>
            <w:tcBorders>
              <w:bottom w:color="000000" w:space="0" w:sz="0" w:val="nil"/>
              <w:right w:color="000000" w:space="0" w:sz="4" w:val="single"/>
            </w:tcBorders>
            <w:vAlign w:val="center"/>
          </w:tcPr>
          <w:p w:rsidR="00000000" w:rsidDel="00000000" w:rsidP="00000000" w:rsidRDefault="00000000" w:rsidRPr="00000000" w14:paraId="00000050">
            <w:pPr>
              <w:spacing w:line="360" w:lineRule="auto"/>
              <w:jc w:val="center"/>
              <w:rPr>
                <w:sz w:val="24"/>
                <w:szCs w:val="24"/>
              </w:rPr>
            </w:pPr>
            <w:r w:rsidDel="00000000" w:rsidR="00000000" w:rsidRPr="00000000">
              <w:rPr>
                <w:rtl w:val="0"/>
              </w:rPr>
            </w:r>
          </w:p>
        </w:tc>
        <w:tc>
          <w:tcPr>
            <w:tcBorders>
              <w:bottom w:color="000000" w:space="0" w:sz="0" w:val="nil"/>
            </w:tcBorders>
            <w:vAlign w:val="center"/>
          </w:tcPr>
          <w:p w:rsidR="00000000" w:rsidDel="00000000" w:rsidP="00000000" w:rsidRDefault="00000000" w:rsidRPr="00000000" w14:paraId="00000051">
            <w:pPr>
              <w:spacing w:line="360" w:lineRule="auto"/>
              <w:rPr>
                <w:sz w:val="24"/>
                <w:szCs w:val="24"/>
              </w:rPr>
            </w:pPr>
            <w:r w:rsidDel="00000000" w:rsidR="00000000" w:rsidRPr="00000000">
              <w:rPr>
                <w:rtl w:val="0"/>
              </w:rPr>
            </w:r>
          </w:p>
        </w:tc>
      </w:tr>
      <w:tr>
        <w:trPr>
          <w:cantSplit w:val="0"/>
          <w:trHeight w:val="253" w:hRule="atLeast"/>
          <w:tblHeader w:val="0"/>
        </w:trPr>
        <w:tc>
          <w:tcPr>
            <w:tcBorders>
              <w:top w:color="000000" w:space="0" w:sz="0" w:val="nil"/>
              <w:bottom w:color="000000" w:space="0" w:sz="4" w:val="single"/>
              <w:right w:color="000000" w:space="0" w:sz="4" w:val="single"/>
            </w:tcBorders>
            <w:vAlign w:val="center"/>
          </w:tcPr>
          <w:p w:rsidR="00000000" w:rsidDel="00000000" w:rsidP="00000000" w:rsidRDefault="00000000" w:rsidRPr="00000000" w14:paraId="00000052">
            <w:pPr>
              <w:spacing w:line="360" w:lineRule="auto"/>
              <w:jc w:val="center"/>
              <w:rPr>
                <w:sz w:val="24"/>
                <w:szCs w:val="24"/>
              </w:rPr>
            </w:pPr>
            <w:r w:rsidDel="00000000" w:rsidR="00000000" w:rsidRPr="00000000">
              <w:rPr>
                <w:rtl w:val="0"/>
              </w:rPr>
            </w:r>
          </w:p>
        </w:tc>
        <w:tc>
          <w:tcPr>
            <w:tcBorders>
              <w:top w:color="000000" w:space="0" w:sz="0" w:val="nil"/>
              <w:bottom w:color="000000" w:space="0" w:sz="4" w:val="single"/>
            </w:tcBorders>
            <w:vAlign w:val="center"/>
          </w:tcPr>
          <w:p w:rsidR="00000000" w:rsidDel="00000000" w:rsidP="00000000" w:rsidRDefault="00000000" w:rsidRPr="00000000" w14:paraId="00000053">
            <w:pPr>
              <w:spacing w:line="360" w:lineRule="auto"/>
              <w:rPr>
                <w:sz w:val="24"/>
                <w:szCs w:val="24"/>
              </w:rPr>
            </w:pPr>
            <w:r w:rsidDel="00000000" w:rsidR="00000000" w:rsidRPr="00000000">
              <w:rPr>
                <w:rtl w:val="0"/>
              </w:rPr>
            </w:r>
          </w:p>
        </w:tc>
      </w:tr>
    </w:tbl>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1"/>
        <w:rPr/>
      </w:pPr>
      <w:bookmarkStart w:colFirst="0" w:colLast="0" w:name="_heading=h.tyjcwt" w:id="5"/>
      <w:bookmarkEnd w:id="5"/>
      <w:r w:rsidDel="00000000" w:rsidR="00000000" w:rsidRPr="00000000">
        <w:rPr>
          <w:rtl w:val="0"/>
        </w:rPr>
        <w:t xml:space="preserve">LIST OF ABBREVIATIONS</w:t>
      </w:r>
    </w:p>
    <w:tbl>
      <w:tblPr>
        <w:tblStyle w:val="Table2"/>
        <w:tblW w:w="89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800"/>
        <w:gridCol w:w="7190"/>
        <w:tblGridChange w:id="0">
          <w:tblGrid>
            <w:gridCol w:w="1800"/>
            <w:gridCol w:w="7190"/>
          </w:tblGrid>
        </w:tblGridChange>
      </w:tblGrid>
      <w:tr>
        <w:trPr>
          <w:cantSplit w:val="0"/>
          <w:tblHeader w:val="0"/>
        </w:trPr>
        <w:tc>
          <w:tcPr>
            <w:tcBorders>
              <w:top w:color="000000" w:space="0" w:sz="4" w:val="single"/>
              <w:right w:color="000000" w:space="0" w:sz="4" w:val="single"/>
            </w:tcBorders>
            <w:vAlign w:val="center"/>
          </w:tcPr>
          <w:p w:rsidR="00000000" w:rsidDel="00000000" w:rsidP="00000000" w:rsidRDefault="00000000" w:rsidRPr="00000000" w14:paraId="00000057">
            <w:pPr>
              <w:spacing w:line="360" w:lineRule="auto"/>
              <w:jc w:val="center"/>
              <w:rPr>
                <w:sz w:val="8"/>
                <w:szCs w:val="8"/>
              </w:rPr>
            </w:pPr>
            <w:r w:rsidDel="00000000" w:rsidR="00000000" w:rsidRPr="00000000">
              <w:rPr>
                <w:rtl w:val="0"/>
              </w:rPr>
            </w:r>
          </w:p>
          <w:p w:rsidR="00000000" w:rsidDel="00000000" w:rsidP="00000000" w:rsidRDefault="00000000" w:rsidRPr="00000000" w14:paraId="00000058">
            <w:pPr>
              <w:spacing w:line="360" w:lineRule="auto"/>
              <w:jc w:val="center"/>
              <w:rPr>
                <w:sz w:val="24"/>
                <w:szCs w:val="24"/>
              </w:rPr>
            </w:pPr>
            <w:r w:rsidDel="00000000" w:rsidR="00000000" w:rsidRPr="00000000">
              <w:rPr>
                <w:sz w:val="24"/>
                <w:szCs w:val="24"/>
                <w:rtl w:val="0"/>
              </w:rPr>
              <w:t xml:space="preserve">AASHTO</w:t>
            </w:r>
          </w:p>
        </w:tc>
        <w:tc>
          <w:tcPr>
            <w:tcBorders>
              <w:top w:color="000000" w:space="0" w:sz="4" w:val="single"/>
              <w:left w:color="000000" w:space="0" w:sz="4" w:val="single"/>
            </w:tcBorders>
            <w:vAlign w:val="center"/>
          </w:tcPr>
          <w:p w:rsidR="00000000" w:rsidDel="00000000" w:rsidP="00000000" w:rsidRDefault="00000000" w:rsidRPr="00000000" w14:paraId="00000059">
            <w:pPr>
              <w:spacing w:line="360" w:lineRule="auto"/>
              <w:rPr>
                <w:sz w:val="8"/>
                <w:szCs w:val="8"/>
              </w:rPr>
            </w:pPr>
            <w:r w:rsidDel="00000000" w:rsidR="00000000" w:rsidRPr="00000000">
              <w:rPr>
                <w:rtl w:val="0"/>
              </w:rPr>
            </w:r>
          </w:p>
          <w:p w:rsidR="00000000" w:rsidDel="00000000" w:rsidP="00000000" w:rsidRDefault="00000000" w:rsidRPr="00000000" w14:paraId="0000005A">
            <w:pPr>
              <w:spacing w:line="360" w:lineRule="auto"/>
              <w:rPr>
                <w:sz w:val="24"/>
                <w:szCs w:val="24"/>
              </w:rPr>
            </w:pPr>
            <w:r w:rsidDel="00000000" w:rsidR="00000000" w:rsidRPr="00000000">
              <w:rPr>
                <w:sz w:val="24"/>
                <w:szCs w:val="24"/>
                <w:rtl w:val="0"/>
              </w:rPr>
              <w:t xml:space="preserve">American Association of Highway and Transportation Officials</w:t>
            </w:r>
          </w:p>
        </w:tc>
      </w:tr>
      <w:tr>
        <w:trPr>
          <w:cantSplit w:val="0"/>
          <w:tblHeader w:val="0"/>
        </w:trPr>
        <w:tc>
          <w:tcPr>
            <w:tcBorders>
              <w:right w:color="000000" w:space="0" w:sz="4" w:val="single"/>
            </w:tcBorders>
            <w:vAlign w:val="center"/>
          </w:tcPr>
          <w:p w:rsidR="00000000" w:rsidDel="00000000" w:rsidP="00000000" w:rsidRDefault="00000000" w:rsidRPr="00000000" w14:paraId="0000005B">
            <w:pPr>
              <w:spacing w:line="360" w:lineRule="auto"/>
              <w:jc w:val="center"/>
              <w:rPr>
                <w:sz w:val="24"/>
                <w:szCs w:val="24"/>
              </w:rPr>
            </w:pPr>
            <w:r w:rsidDel="00000000" w:rsidR="00000000" w:rsidRPr="00000000">
              <w:rPr>
                <w:sz w:val="24"/>
                <w:szCs w:val="24"/>
                <w:rtl w:val="0"/>
              </w:rPr>
              <w:t xml:space="preserve">CSA</w:t>
            </w:r>
          </w:p>
        </w:tc>
        <w:tc>
          <w:tcPr>
            <w:tcBorders>
              <w:left w:color="000000" w:space="0" w:sz="4" w:val="single"/>
            </w:tcBorders>
            <w:vAlign w:val="center"/>
          </w:tcPr>
          <w:p w:rsidR="00000000" w:rsidDel="00000000" w:rsidP="00000000" w:rsidRDefault="00000000" w:rsidRPr="00000000" w14:paraId="0000005C">
            <w:pPr>
              <w:spacing w:line="360" w:lineRule="auto"/>
              <w:rPr>
                <w:sz w:val="24"/>
                <w:szCs w:val="24"/>
              </w:rPr>
            </w:pPr>
            <w:r w:rsidDel="00000000" w:rsidR="00000000" w:rsidRPr="00000000">
              <w:rPr>
                <w:sz w:val="24"/>
                <w:szCs w:val="24"/>
                <w:rtl w:val="0"/>
              </w:rPr>
              <w:t xml:space="preserve">Canadian Standards Association </w:t>
            </w:r>
          </w:p>
        </w:tc>
      </w:tr>
      <w:tr>
        <w:trPr>
          <w:cantSplit w:val="0"/>
          <w:tblHeader w:val="0"/>
        </w:trPr>
        <w:tc>
          <w:tcPr>
            <w:tcBorders>
              <w:right w:color="000000" w:space="0" w:sz="4" w:val="single"/>
            </w:tcBorders>
            <w:vAlign w:val="center"/>
          </w:tcPr>
          <w:p w:rsidR="00000000" w:rsidDel="00000000" w:rsidP="00000000" w:rsidRDefault="00000000" w:rsidRPr="00000000" w14:paraId="0000005D">
            <w:pPr>
              <w:spacing w:line="360" w:lineRule="auto"/>
              <w:jc w:val="center"/>
              <w:rPr>
                <w:sz w:val="24"/>
                <w:szCs w:val="24"/>
              </w:rPr>
            </w:pPr>
            <w:r w:rsidDel="00000000" w:rsidR="00000000" w:rsidRPr="00000000">
              <w:rPr>
                <w:rtl w:val="0"/>
              </w:rPr>
              <w:t xml:space="preserve">CFSST</w:t>
            </w: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05E">
            <w:pPr>
              <w:spacing w:line="360" w:lineRule="auto"/>
              <w:rPr>
                <w:sz w:val="24"/>
                <w:szCs w:val="24"/>
              </w:rPr>
            </w:pPr>
            <w:r w:rsidDel="00000000" w:rsidR="00000000" w:rsidRPr="00000000">
              <w:rPr>
                <w:rtl w:val="0"/>
              </w:rPr>
              <w:t xml:space="preserve">Concrete Filled Stainless Steel Tubular </w:t>
            </w:r>
            <w:r w:rsidDel="00000000" w:rsidR="00000000" w:rsidRPr="00000000">
              <w:rPr>
                <w:rtl w:val="0"/>
              </w:rPr>
            </w:r>
          </w:p>
        </w:tc>
      </w:tr>
      <w:tr>
        <w:trPr>
          <w:cantSplit w:val="0"/>
          <w:tblHeader w:val="0"/>
        </w:trPr>
        <w:tc>
          <w:tcPr>
            <w:tcBorders>
              <w:right w:color="000000" w:space="0" w:sz="4" w:val="single"/>
            </w:tcBorders>
            <w:vAlign w:val="center"/>
          </w:tcPr>
          <w:p w:rsidR="00000000" w:rsidDel="00000000" w:rsidP="00000000" w:rsidRDefault="00000000" w:rsidRPr="00000000" w14:paraId="0000005F">
            <w:pPr>
              <w:spacing w:line="360" w:lineRule="auto"/>
              <w:jc w:val="center"/>
              <w:rPr>
                <w:sz w:val="24"/>
                <w:szCs w:val="24"/>
              </w:rPr>
            </w:pPr>
            <w:r w:rsidDel="00000000" w:rsidR="00000000" w:rsidRPr="00000000">
              <w:rPr>
                <w:sz w:val="24"/>
                <w:szCs w:val="24"/>
                <w:rtl w:val="0"/>
              </w:rPr>
              <w:t xml:space="preserve">RMSE</w:t>
            </w:r>
          </w:p>
        </w:tc>
        <w:tc>
          <w:tcPr>
            <w:tcBorders>
              <w:left w:color="000000" w:space="0" w:sz="4" w:val="single"/>
            </w:tcBorders>
            <w:vAlign w:val="center"/>
          </w:tcPr>
          <w:p w:rsidR="00000000" w:rsidDel="00000000" w:rsidP="00000000" w:rsidRDefault="00000000" w:rsidRPr="00000000" w14:paraId="00000060">
            <w:pPr>
              <w:spacing w:line="360" w:lineRule="auto"/>
              <w:rPr>
                <w:sz w:val="24"/>
                <w:szCs w:val="24"/>
              </w:rPr>
            </w:pPr>
            <w:r w:rsidDel="00000000" w:rsidR="00000000" w:rsidRPr="00000000">
              <w:rPr>
                <w:sz w:val="24"/>
                <w:szCs w:val="24"/>
                <w:rtl w:val="0"/>
              </w:rPr>
              <w:t xml:space="preserve">Root Mean Square Error </w:t>
            </w:r>
          </w:p>
        </w:tc>
      </w:tr>
      <w:tr>
        <w:trPr>
          <w:cantSplit w:val="0"/>
          <w:tblHeader w:val="0"/>
        </w:trPr>
        <w:tc>
          <w:tcPr>
            <w:tcBorders>
              <w:right w:color="000000" w:space="0" w:sz="4" w:val="single"/>
            </w:tcBorders>
            <w:vAlign w:val="center"/>
          </w:tcPr>
          <w:p w:rsidR="00000000" w:rsidDel="00000000" w:rsidP="00000000" w:rsidRDefault="00000000" w:rsidRPr="00000000" w14:paraId="00000061">
            <w:pPr>
              <w:spacing w:line="360" w:lineRule="auto"/>
              <w:jc w:val="center"/>
              <w:rPr>
                <w:sz w:val="24"/>
                <w:szCs w:val="24"/>
              </w:rPr>
            </w:pPr>
            <w:r w:rsidDel="00000000" w:rsidR="00000000" w:rsidRPr="00000000">
              <w:rPr>
                <w:sz w:val="24"/>
                <w:szCs w:val="24"/>
                <w:rtl w:val="0"/>
              </w:rPr>
              <w:t xml:space="preserve">MAE</w:t>
            </w:r>
          </w:p>
        </w:tc>
        <w:tc>
          <w:tcPr>
            <w:tcBorders>
              <w:left w:color="000000" w:space="0" w:sz="4" w:val="single"/>
            </w:tcBorders>
            <w:vAlign w:val="center"/>
          </w:tcPr>
          <w:p w:rsidR="00000000" w:rsidDel="00000000" w:rsidP="00000000" w:rsidRDefault="00000000" w:rsidRPr="00000000" w14:paraId="00000062">
            <w:pPr>
              <w:spacing w:line="360" w:lineRule="auto"/>
              <w:rPr>
                <w:sz w:val="24"/>
                <w:szCs w:val="24"/>
              </w:rPr>
            </w:pPr>
            <w:r w:rsidDel="00000000" w:rsidR="00000000" w:rsidRPr="00000000">
              <w:rPr>
                <w:sz w:val="24"/>
                <w:szCs w:val="24"/>
                <w:rtl w:val="0"/>
              </w:rPr>
              <w:t xml:space="preserve">Mean Absolute Error </w:t>
            </w:r>
          </w:p>
        </w:tc>
      </w:tr>
      <w:tr>
        <w:trPr>
          <w:cantSplit w:val="0"/>
          <w:tblHeader w:val="0"/>
        </w:trPr>
        <w:tc>
          <w:tcPr>
            <w:tcBorders>
              <w:right w:color="000000" w:space="0" w:sz="4" w:val="single"/>
            </w:tcBorders>
            <w:vAlign w:val="center"/>
          </w:tcPr>
          <w:p w:rsidR="00000000" w:rsidDel="00000000" w:rsidP="00000000" w:rsidRDefault="00000000" w:rsidRPr="00000000" w14:paraId="00000063">
            <w:pPr>
              <w:spacing w:line="360" w:lineRule="auto"/>
              <w:jc w:val="center"/>
              <w:rPr>
                <w:sz w:val="24"/>
                <w:szCs w:val="24"/>
              </w:rPr>
            </w:pPr>
            <w:r w:rsidDel="00000000" w:rsidR="00000000" w:rsidRPr="00000000">
              <w:rPr>
                <w:sz w:val="24"/>
                <w:szCs w:val="24"/>
                <w:rtl w:val="0"/>
              </w:rPr>
              <w:t xml:space="preserve">NSE</w:t>
            </w:r>
          </w:p>
        </w:tc>
        <w:tc>
          <w:tcPr>
            <w:tcBorders>
              <w:left w:color="000000" w:space="0" w:sz="4" w:val="single"/>
            </w:tcBorders>
            <w:vAlign w:val="center"/>
          </w:tcPr>
          <w:p w:rsidR="00000000" w:rsidDel="00000000" w:rsidP="00000000" w:rsidRDefault="00000000" w:rsidRPr="00000000" w14:paraId="00000064">
            <w:pPr>
              <w:spacing w:line="360" w:lineRule="auto"/>
              <w:rPr>
                <w:sz w:val="24"/>
                <w:szCs w:val="24"/>
              </w:rPr>
            </w:pPr>
            <w:r w:rsidDel="00000000" w:rsidR="00000000" w:rsidRPr="00000000">
              <w:rPr>
                <w:sz w:val="24"/>
                <w:szCs w:val="24"/>
                <w:rtl w:val="0"/>
              </w:rPr>
              <w:t xml:space="preserve">Nash-Sutcliffe Model Error</w:t>
            </w:r>
          </w:p>
        </w:tc>
      </w:tr>
      <w:tr>
        <w:trPr>
          <w:cantSplit w:val="0"/>
          <w:tblHeader w:val="0"/>
        </w:trPr>
        <w:tc>
          <w:tcPr>
            <w:tcBorders>
              <w:right w:color="000000" w:space="0" w:sz="4" w:val="single"/>
            </w:tcBorders>
            <w:vAlign w:val="center"/>
          </w:tcPr>
          <w:p w:rsidR="00000000" w:rsidDel="00000000" w:rsidP="00000000" w:rsidRDefault="00000000" w:rsidRPr="00000000" w14:paraId="00000065">
            <w:pPr>
              <w:spacing w:line="360" w:lineRule="auto"/>
              <w:jc w:val="center"/>
              <w:rPr>
                <w:sz w:val="24"/>
                <w:szCs w:val="24"/>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066">
            <w:pPr>
              <w:spacing w:line="360" w:lineRule="auto"/>
              <w:rPr>
                <w:sz w:val="24"/>
                <w:szCs w:val="24"/>
              </w:rPr>
            </w:pPr>
            <w:r w:rsidDel="00000000" w:rsidR="00000000" w:rsidRPr="00000000">
              <w:rPr>
                <w:rtl w:val="0"/>
              </w:rPr>
            </w:r>
          </w:p>
        </w:tc>
      </w:tr>
      <w:tr>
        <w:trPr>
          <w:cantSplit w:val="0"/>
          <w:tblHeader w:val="0"/>
        </w:trPr>
        <w:tc>
          <w:tcPr>
            <w:tcBorders>
              <w:bottom w:color="000000" w:space="0" w:sz="4" w:val="single"/>
              <w:right w:color="000000" w:space="0" w:sz="4" w:val="single"/>
            </w:tcBorders>
            <w:vAlign w:val="center"/>
          </w:tcPr>
          <w:p w:rsidR="00000000" w:rsidDel="00000000" w:rsidP="00000000" w:rsidRDefault="00000000" w:rsidRPr="00000000" w14:paraId="00000067">
            <w:pPr>
              <w:spacing w:line="360" w:lineRule="auto"/>
              <w:jc w:val="center"/>
              <w:rPr>
                <w:sz w:val="24"/>
                <w:szCs w:val="24"/>
              </w:rP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68">
            <w:pPr>
              <w:spacing w:line="360" w:lineRule="auto"/>
              <w:rPr>
                <w:sz w:val="24"/>
                <w:szCs w:val="24"/>
              </w:rPr>
            </w:pPr>
            <w:r w:rsidDel="00000000" w:rsidR="00000000" w:rsidRPr="00000000">
              <w:rPr>
                <w:rtl w:val="0"/>
              </w:rPr>
            </w:r>
          </w:p>
        </w:tc>
      </w:tr>
    </w:tbl>
    <w:p w:rsidR="00000000" w:rsidDel="00000000" w:rsidP="00000000" w:rsidRDefault="00000000" w:rsidRPr="00000000" w14:paraId="00000069">
      <w:pPr>
        <w:pStyle w:val="Heading1"/>
        <w:rPr/>
      </w:pPr>
      <w:bookmarkStart w:colFirst="0" w:colLast="0" w:name="_heading=h.3dy6vkm" w:id="6"/>
      <w:bookmarkEnd w:id="6"/>
      <w:r w:rsidDel="00000000" w:rsidR="00000000" w:rsidRPr="00000000">
        <w:br w:type="page"/>
      </w:r>
      <w:r w:rsidDel="00000000" w:rsidR="00000000" w:rsidRPr="00000000">
        <w:rPr>
          <w:rtl w:val="0"/>
        </w:rPr>
        <w:t xml:space="preserve">CHAPTER 1: INTRODUCTION</w:t>
      </w:r>
    </w:p>
    <w:p w:rsidR="00000000" w:rsidDel="00000000" w:rsidP="00000000" w:rsidRDefault="00000000" w:rsidRPr="00000000" w14:paraId="0000006A">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1"/>
        <w:rPr/>
      </w:pPr>
      <w:bookmarkStart w:colFirst="0" w:colLast="0" w:name="_heading=h.1t3h5sf" w:id="7"/>
      <w:bookmarkEnd w:id="7"/>
      <w:r w:rsidDel="00000000" w:rsidR="00000000" w:rsidRPr="00000000">
        <w:rPr>
          <w:rtl w:val="0"/>
        </w:rPr>
        <w:t xml:space="preserve">CHAPTER 2: DATABASE FOR CFSST COLUMN AXIAL CAPACITY PREDICTION</w:t>
      </w:r>
    </w:p>
    <w:p w:rsidR="00000000" w:rsidDel="00000000" w:rsidP="00000000" w:rsidRDefault="00000000" w:rsidRPr="00000000" w14:paraId="0000006C">
      <w:pPr>
        <w:jc w:val="both"/>
        <w:rPr>
          <w:sz w:val="24"/>
          <w:szCs w:val="24"/>
        </w:rPr>
      </w:pPr>
      <w:r w:rsidDel="00000000" w:rsidR="00000000" w:rsidRPr="00000000">
        <w:rPr>
          <w:sz w:val="24"/>
          <w:szCs w:val="24"/>
          <w:rtl w:val="0"/>
        </w:rPr>
        <w:t xml:space="preserve">A reliable database is essential for developing dependable prediction models and identifying the key factors that influence prediction accuracy. A comprehensive dataset was compiled from multiple peer-reviewed journals and dissertation papers describing their experimental findings based on the studies conducted in the past.  In this project, a total of 422 data points has been gathered and are evenly divided between circular and rectangular Concrete-Filled Stainless-Steel Tubular (CFSST) columns, with 211 datasets for each type. This extensive compilation serves as the foundation for the study's analysis and model development.</w:t>
      </w:r>
    </w:p>
    <w:p w:rsidR="00000000" w:rsidDel="00000000" w:rsidP="00000000" w:rsidRDefault="00000000" w:rsidRPr="00000000" w14:paraId="0000006D">
      <w:pPr>
        <w:jc w:val="both"/>
        <w:rPr>
          <w:sz w:val="24"/>
          <w:szCs w:val="24"/>
        </w:rPr>
      </w:pPr>
      <w:r w:rsidDel="00000000" w:rsidR="00000000" w:rsidRPr="00000000">
        <w:rPr>
          <w:sz w:val="24"/>
          <w:szCs w:val="24"/>
          <w:rtl w:val="0"/>
        </w:rPr>
        <w:t xml:space="preserve">This study aims to develop a reliable machine learning (ML) model for predicting the axial capacity of Concrete-Filled Stainless-Steel Tubular (CFSST) columns using a data-driven approach. The model's output is the axial compression capacity (N_Test) measured in kilonewtons (kN), while the input parameters include:</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Column length (L, mm)</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Tube thickness (t, mm)</w:t>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Stainless steel proof stress (σ</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0.2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MPa)</w:t>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Stainless steel ultimate strength (f</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u</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MPa)</w:t>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Stainless steel elastic modulus (E</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MPa)</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Strain hardening component (n)</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Concrete compressive strength (f’</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MPa)</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Column diameter (D, mm) for circular sections</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Cross-section width (B, mm) and height (H, mm) for rectangular sections</w:t>
      </w:r>
    </w:p>
    <w:tbl>
      <w:tblPr>
        <w:tblStyle w:val="Table3"/>
        <w:tblpPr w:leftFromText="180" w:rightFromText="180" w:topFromText="0" w:bottomFromText="0" w:vertAnchor="text" w:horzAnchor="text" w:tblpX="0" w:tblpY="386"/>
        <w:tblW w:w="916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032"/>
        <w:gridCol w:w="1962"/>
        <w:gridCol w:w="1724"/>
        <w:gridCol w:w="1724"/>
        <w:gridCol w:w="1724"/>
        <w:tblGridChange w:id="0">
          <w:tblGrid>
            <w:gridCol w:w="2032"/>
            <w:gridCol w:w="1962"/>
            <w:gridCol w:w="1724"/>
            <w:gridCol w:w="1724"/>
            <w:gridCol w:w="1724"/>
          </w:tblGrid>
        </w:tblGridChange>
      </w:tblGrid>
      <w:tr>
        <w:trPr>
          <w:cantSplit w:val="0"/>
          <w:tblHeader w:val="0"/>
        </w:trPr>
        <w:tc>
          <w:tcPr>
            <w:tcBorders>
              <w:top w:color="000000" w:space="0" w:sz="4" w:val="single"/>
              <w:bottom w:color="000000" w:space="0" w:sz="4" w:val="single"/>
            </w:tcBorders>
          </w:tcPr>
          <w:p w:rsidR="00000000" w:rsidDel="00000000" w:rsidP="00000000" w:rsidRDefault="00000000" w:rsidRPr="00000000" w14:paraId="00000077">
            <w:pPr>
              <w:jc w:val="center"/>
              <w:rPr>
                <w:b w:val="1"/>
              </w:rPr>
            </w:pPr>
            <w:r w:rsidDel="00000000" w:rsidR="00000000" w:rsidRPr="00000000">
              <w:rPr>
                <w:b w:val="1"/>
                <w:rtl w:val="0"/>
              </w:rPr>
              <w:t xml:space="preserve">Input</w:t>
            </w:r>
          </w:p>
        </w:tc>
        <w:tc>
          <w:tcPr>
            <w:gridSpan w:val="2"/>
            <w:tcBorders>
              <w:top w:color="000000" w:space="0" w:sz="4" w:val="single"/>
              <w:bottom w:color="000000" w:space="0" w:sz="4" w:val="single"/>
            </w:tcBorders>
          </w:tcPr>
          <w:p w:rsidR="00000000" w:rsidDel="00000000" w:rsidP="00000000" w:rsidRDefault="00000000" w:rsidRPr="00000000" w14:paraId="00000078">
            <w:pPr>
              <w:jc w:val="center"/>
              <w:rPr>
                <w:b w:val="1"/>
              </w:rPr>
            </w:pPr>
            <w:r w:rsidDel="00000000" w:rsidR="00000000" w:rsidRPr="00000000">
              <w:rPr>
                <w:b w:val="1"/>
                <w:rtl w:val="0"/>
              </w:rPr>
              <w:t xml:space="preserve">Circular Columns</w:t>
            </w:r>
          </w:p>
        </w:tc>
        <w:tc>
          <w:tcPr>
            <w:gridSpan w:val="2"/>
            <w:tcBorders>
              <w:top w:color="000000" w:space="0" w:sz="4" w:val="single"/>
              <w:bottom w:color="000000" w:space="0" w:sz="4" w:val="single"/>
            </w:tcBorders>
          </w:tcPr>
          <w:p w:rsidR="00000000" w:rsidDel="00000000" w:rsidP="00000000" w:rsidRDefault="00000000" w:rsidRPr="00000000" w14:paraId="0000007A">
            <w:pPr>
              <w:jc w:val="center"/>
              <w:rPr>
                <w:b w:val="1"/>
              </w:rPr>
            </w:pPr>
            <w:r w:rsidDel="00000000" w:rsidR="00000000" w:rsidRPr="00000000">
              <w:rPr>
                <w:b w:val="1"/>
                <w:rtl w:val="0"/>
              </w:rPr>
              <w:t xml:space="preserve">Rectangular Columns</w:t>
            </w:r>
          </w:p>
        </w:tc>
      </w:tr>
      <w:tr>
        <w:trPr>
          <w:cantSplit w:val="0"/>
          <w:tblHeader w:val="0"/>
        </w:trPr>
        <w:tc>
          <w:tcPr>
            <w:tcBorders>
              <w:top w:color="000000" w:space="0" w:sz="4" w:val="single"/>
              <w:bottom w:color="000000" w:space="0" w:sz="4" w:val="single"/>
            </w:tcBorders>
          </w:tcPr>
          <w:p w:rsidR="00000000" w:rsidDel="00000000" w:rsidP="00000000" w:rsidRDefault="00000000" w:rsidRPr="00000000" w14:paraId="0000007C">
            <w:pPr>
              <w:jc w:val="center"/>
              <w:rPr>
                <w:b w:val="1"/>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7D">
            <w:pPr>
              <w:jc w:val="center"/>
              <w:rPr>
                <w:b w:val="1"/>
              </w:rPr>
            </w:pPr>
            <w:r w:rsidDel="00000000" w:rsidR="00000000" w:rsidRPr="00000000">
              <w:rPr>
                <w:b w:val="1"/>
                <w:rtl w:val="0"/>
              </w:rPr>
              <w:t xml:space="preserve">Mean</w:t>
            </w:r>
          </w:p>
        </w:tc>
        <w:tc>
          <w:tcPr>
            <w:tcBorders>
              <w:top w:color="000000" w:space="0" w:sz="4" w:val="single"/>
              <w:bottom w:color="000000" w:space="0" w:sz="4" w:val="single"/>
            </w:tcBorders>
          </w:tcPr>
          <w:p w:rsidR="00000000" w:rsidDel="00000000" w:rsidP="00000000" w:rsidRDefault="00000000" w:rsidRPr="00000000" w14:paraId="0000007E">
            <w:pPr>
              <w:jc w:val="center"/>
              <w:rPr>
                <w:b w:val="1"/>
              </w:rPr>
            </w:pPr>
            <w:r w:rsidDel="00000000" w:rsidR="00000000" w:rsidRPr="00000000">
              <w:rPr>
                <w:b w:val="1"/>
                <w:rtl w:val="0"/>
              </w:rPr>
              <w:t xml:space="preserve">SD</w:t>
            </w:r>
          </w:p>
        </w:tc>
        <w:tc>
          <w:tcPr>
            <w:tcBorders>
              <w:top w:color="000000" w:space="0" w:sz="4" w:val="single"/>
              <w:bottom w:color="000000" w:space="0" w:sz="4" w:val="single"/>
            </w:tcBorders>
          </w:tcPr>
          <w:p w:rsidR="00000000" w:rsidDel="00000000" w:rsidP="00000000" w:rsidRDefault="00000000" w:rsidRPr="00000000" w14:paraId="0000007F">
            <w:pPr>
              <w:jc w:val="center"/>
              <w:rPr>
                <w:b w:val="1"/>
              </w:rPr>
            </w:pPr>
            <w:r w:rsidDel="00000000" w:rsidR="00000000" w:rsidRPr="00000000">
              <w:rPr>
                <w:b w:val="1"/>
                <w:rtl w:val="0"/>
              </w:rPr>
              <w:t xml:space="preserve">Mean</w:t>
            </w:r>
          </w:p>
        </w:tc>
        <w:tc>
          <w:tcPr>
            <w:tcBorders>
              <w:top w:color="000000" w:space="0" w:sz="4" w:val="single"/>
              <w:bottom w:color="000000" w:space="0" w:sz="4" w:val="single"/>
            </w:tcBorders>
          </w:tcPr>
          <w:p w:rsidR="00000000" w:rsidDel="00000000" w:rsidP="00000000" w:rsidRDefault="00000000" w:rsidRPr="00000000" w14:paraId="00000080">
            <w:pPr>
              <w:jc w:val="center"/>
              <w:rPr>
                <w:b w:val="1"/>
              </w:rPr>
            </w:pPr>
            <w:r w:rsidDel="00000000" w:rsidR="00000000" w:rsidRPr="00000000">
              <w:rPr>
                <w:b w:val="1"/>
                <w:rtl w:val="0"/>
              </w:rPr>
              <w:t xml:space="preserve">SD</w:t>
            </w:r>
          </w:p>
        </w:tc>
      </w:tr>
      <w:tr>
        <w:trPr>
          <w:cantSplit w:val="0"/>
          <w:tblHeader w:val="0"/>
        </w:trPr>
        <w:tc>
          <w:tcPr>
            <w:tcBorders>
              <w:top w:color="000000" w:space="0" w:sz="4" w:val="single"/>
            </w:tcBorders>
          </w:tcPr>
          <w:p w:rsidR="00000000" w:rsidDel="00000000" w:rsidP="00000000" w:rsidRDefault="00000000" w:rsidRPr="00000000" w14:paraId="00000081">
            <w:pPr>
              <w:jc w:val="center"/>
              <w:rPr>
                <w:i w:val="1"/>
              </w:rPr>
            </w:pPr>
            <w:r w:rsidDel="00000000" w:rsidR="00000000" w:rsidRPr="00000000">
              <w:rPr>
                <w:i w:val="1"/>
                <w:rtl w:val="0"/>
              </w:rPr>
              <w:t xml:space="preserve"> D (mm)</w:t>
            </w:r>
          </w:p>
        </w:tc>
        <w:tc>
          <w:tcPr>
            <w:tcBorders>
              <w:top w:color="000000" w:space="0" w:sz="4" w:val="single"/>
            </w:tcBorders>
            <w:vAlign w:val="center"/>
          </w:tcPr>
          <w:p w:rsidR="00000000" w:rsidDel="00000000" w:rsidP="00000000" w:rsidRDefault="00000000" w:rsidRPr="00000000" w14:paraId="00000082">
            <w:pPr>
              <w:jc w:val="center"/>
              <w:rPr/>
            </w:pPr>
            <w:r w:rsidDel="00000000" w:rsidR="00000000" w:rsidRPr="00000000">
              <w:rPr>
                <w:rtl w:val="0"/>
              </w:rPr>
              <w:t xml:space="preserve">134.2</w:t>
            </w:r>
          </w:p>
        </w:tc>
        <w:tc>
          <w:tcPr>
            <w:tcBorders>
              <w:top w:color="000000" w:space="0" w:sz="4" w:val="single"/>
            </w:tcBorders>
            <w:vAlign w:val="center"/>
          </w:tcPr>
          <w:p w:rsidR="00000000" w:rsidDel="00000000" w:rsidP="00000000" w:rsidRDefault="00000000" w:rsidRPr="00000000" w14:paraId="00000083">
            <w:pPr>
              <w:jc w:val="center"/>
              <w:rPr/>
            </w:pPr>
            <w:r w:rsidDel="00000000" w:rsidR="00000000" w:rsidRPr="00000000">
              <w:rPr>
                <w:rtl w:val="0"/>
              </w:rPr>
              <w:t xml:space="preserve">68.7</w:t>
            </w:r>
          </w:p>
        </w:tc>
        <w:tc>
          <w:tcPr>
            <w:tcBorders>
              <w:top w:color="000000" w:space="0" w:sz="4" w:val="single"/>
            </w:tcBorders>
            <w:vAlign w:val="center"/>
          </w:tcPr>
          <w:p w:rsidR="00000000" w:rsidDel="00000000" w:rsidP="00000000" w:rsidRDefault="00000000" w:rsidRPr="00000000" w14:paraId="00000084">
            <w:pPr>
              <w:jc w:val="center"/>
              <w:rPr/>
            </w:pPr>
            <w:r w:rsidDel="00000000" w:rsidR="00000000" w:rsidRPr="00000000">
              <w:rPr>
                <w:rtl w:val="0"/>
              </w:rPr>
              <w:t xml:space="preserve">-</w:t>
            </w:r>
          </w:p>
        </w:tc>
        <w:tc>
          <w:tcPr>
            <w:tcBorders>
              <w:top w:color="000000" w:space="0" w:sz="4" w:val="single"/>
            </w:tcBorders>
            <w:vAlign w:val="center"/>
          </w:tcPr>
          <w:p w:rsidR="00000000" w:rsidDel="00000000" w:rsidP="00000000" w:rsidRDefault="00000000" w:rsidRPr="00000000" w14:paraId="00000085">
            <w:pPr>
              <w:jc w:val="cente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86">
            <w:pPr>
              <w:jc w:val="center"/>
              <w:rPr>
                <w:i w:val="1"/>
              </w:rPr>
            </w:pPr>
            <w:r w:rsidDel="00000000" w:rsidR="00000000" w:rsidRPr="00000000">
              <w:rPr>
                <w:i w:val="1"/>
                <w:rtl w:val="0"/>
              </w:rPr>
              <w:t xml:space="preserve">t (mm)</w:t>
            </w:r>
          </w:p>
        </w:tc>
        <w:tc>
          <w:tcPr>
            <w:vAlign w:val="center"/>
          </w:tcPr>
          <w:p w:rsidR="00000000" w:rsidDel="00000000" w:rsidP="00000000" w:rsidRDefault="00000000" w:rsidRPr="00000000" w14:paraId="00000087">
            <w:pPr>
              <w:jc w:val="center"/>
              <w:rPr/>
            </w:pPr>
            <w:r w:rsidDel="00000000" w:rsidR="00000000" w:rsidRPr="00000000">
              <w:rPr>
                <w:rtl w:val="0"/>
              </w:rPr>
              <w:t xml:space="preserve">3.5</w:t>
            </w:r>
          </w:p>
        </w:tc>
        <w:tc>
          <w:tcPr>
            <w:vAlign w:val="center"/>
          </w:tcPr>
          <w:p w:rsidR="00000000" w:rsidDel="00000000" w:rsidP="00000000" w:rsidRDefault="00000000" w:rsidRPr="00000000" w14:paraId="00000088">
            <w:pPr>
              <w:jc w:val="center"/>
              <w:rPr/>
            </w:pPr>
            <w:r w:rsidDel="00000000" w:rsidR="00000000" w:rsidRPr="00000000">
              <w:rPr>
                <w:rtl w:val="0"/>
              </w:rPr>
              <w:t xml:space="preserve">2.2</w:t>
            </w:r>
          </w:p>
        </w:tc>
        <w:tc>
          <w:tcPr>
            <w:vAlign w:val="center"/>
          </w:tcPr>
          <w:p w:rsidR="00000000" w:rsidDel="00000000" w:rsidP="00000000" w:rsidRDefault="00000000" w:rsidRPr="00000000" w14:paraId="00000089">
            <w:pPr>
              <w:jc w:val="center"/>
              <w:rPr/>
            </w:pPr>
            <w:r w:rsidDel="00000000" w:rsidR="00000000" w:rsidRPr="00000000">
              <w:rPr>
                <w:rtl w:val="0"/>
              </w:rPr>
              <w:t xml:space="preserve">3.8</w:t>
            </w:r>
          </w:p>
        </w:tc>
        <w:tc>
          <w:tcPr>
            <w:vAlign w:val="center"/>
          </w:tcPr>
          <w:p w:rsidR="00000000" w:rsidDel="00000000" w:rsidP="00000000" w:rsidRDefault="00000000" w:rsidRPr="00000000" w14:paraId="0000008A">
            <w:pPr>
              <w:jc w:val="center"/>
              <w:rPr/>
            </w:pPr>
            <w:r w:rsidDel="00000000" w:rsidR="00000000" w:rsidRPr="00000000">
              <w:rPr>
                <w:rtl w:val="0"/>
              </w:rPr>
              <w:t xml:space="preserve">2.0</w:t>
            </w:r>
          </w:p>
        </w:tc>
      </w:tr>
      <w:tr>
        <w:trPr>
          <w:cantSplit w:val="0"/>
          <w:tblHeader w:val="0"/>
        </w:trPr>
        <w:tc>
          <w:tcPr/>
          <w:p w:rsidR="00000000" w:rsidDel="00000000" w:rsidP="00000000" w:rsidRDefault="00000000" w:rsidRPr="00000000" w14:paraId="0000008B">
            <w:pPr>
              <w:jc w:val="center"/>
              <w:rPr>
                <w:i w:val="1"/>
              </w:rPr>
            </w:pPr>
            <w:r w:rsidDel="00000000" w:rsidR="00000000" w:rsidRPr="00000000">
              <w:rPr>
                <w:i w:val="1"/>
                <w:rtl w:val="0"/>
              </w:rPr>
              <w:t xml:space="preserve">H (mm)</w:t>
            </w:r>
          </w:p>
        </w:tc>
        <w:tc>
          <w:tcPr>
            <w:vAlign w:val="center"/>
          </w:tcPr>
          <w:p w:rsidR="00000000" w:rsidDel="00000000" w:rsidP="00000000" w:rsidRDefault="00000000" w:rsidRPr="00000000" w14:paraId="0000008C">
            <w:pPr>
              <w:jc w:val="center"/>
              <w:rPr/>
            </w:pPr>
            <w:r w:rsidDel="00000000" w:rsidR="00000000" w:rsidRPr="00000000">
              <w:rPr>
                <w:rtl w:val="0"/>
              </w:rPr>
              <w:t xml:space="preserve">-</w:t>
            </w:r>
          </w:p>
        </w:tc>
        <w:tc>
          <w:tcPr>
            <w:vAlign w:val="center"/>
          </w:tcPr>
          <w:p w:rsidR="00000000" w:rsidDel="00000000" w:rsidP="00000000" w:rsidRDefault="00000000" w:rsidRPr="00000000" w14:paraId="0000008D">
            <w:pPr>
              <w:jc w:val="center"/>
              <w:rPr/>
            </w:pPr>
            <w:r w:rsidDel="00000000" w:rsidR="00000000" w:rsidRPr="00000000">
              <w:rPr>
                <w:rtl w:val="0"/>
              </w:rPr>
              <w:t xml:space="preserve">-</w:t>
            </w:r>
          </w:p>
        </w:tc>
        <w:tc>
          <w:tcPr>
            <w:vAlign w:val="center"/>
          </w:tcPr>
          <w:p w:rsidR="00000000" w:rsidDel="00000000" w:rsidP="00000000" w:rsidRDefault="00000000" w:rsidRPr="00000000" w14:paraId="0000008E">
            <w:pPr>
              <w:jc w:val="center"/>
              <w:rPr/>
            </w:pPr>
            <w:r w:rsidDel="00000000" w:rsidR="00000000" w:rsidRPr="00000000">
              <w:rPr>
                <w:rtl w:val="0"/>
              </w:rPr>
              <w:t xml:space="preserve">120.9</w:t>
            </w:r>
          </w:p>
        </w:tc>
        <w:tc>
          <w:tcPr>
            <w:vAlign w:val="center"/>
          </w:tcPr>
          <w:p w:rsidR="00000000" w:rsidDel="00000000" w:rsidP="00000000" w:rsidRDefault="00000000" w:rsidRPr="00000000" w14:paraId="0000008F">
            <w:pPr>
              <w:jc w:val="center"/>
              <w:rPr/>
            </w:pPr>
            <w:r w:rsidDel="00000000" w:rsidR="00000000" w:rsidRPr="00000000">
              <w:rPr>
                <w:rtl w:val="0"/>
              </w:rPr>
              <w:t xml:space="preserve">41.5</w:t>
            </w:r>
          </w:p>
        </w:tc>
      </w:tr>
      <w:tr>
        <w:trPr>
          <w:cantSplit w:val="0"/>
          <w:tblHeader w:val="0"/>
        </w:trPr>
        <w:tc>
          <w:tcPr/>
          <w:p w:rsidR="00000000" w:rsidDel="00000000" w:rsidP="00000000" w:rsidRDefault="00000000" w:rsidRPr="00000000" w14:paraId="00000090">
            <w:pPr>
              <w:jc w:val="center"/>
              <w:rPr>
                <w:i w:val="1"/>
              </w:rPr>
            </w:pPr>
            <w:r w:rsidDel="00000000" w:rsidR="00000000" w:rsidRPr="00000000">
              <w:rPr>
                <w:i w:val="1"/>
                <w:rtl w:val="0"/>
              </w:rPr>
              <w:t xml:space="preserve">B (mm)</w:t>
            </w:r>
          </w:p>
        </w:tc>
        <w:tc>
          <w:tcPr>
            <w:vAlign w:val="center"/>
          </w:tcPr>
          <w:p w:rsidR="00000000" w:rsidDel="00000000" w:rsidP="00000000" w:rsidRDefault="00000000" w:rsidRPr="00000000" w14:paraId="00000091">
            <w:pPr>
              <w:jc w:val="center"/>
              <w:rPr/>
            </w:pPr>
            <w:r w:rsidDel="00000000" w:rsidR="00000000" w:rsidRPr="00000000">
              <w:rPr>
                <w:rtl w:val="0"/>
              </w:rPr>
              <w:t xml:space="preserve">-</w:t>
            </w:r>
          </w:p>
        </w:tc>
        <w:tc>
          <w:tcPr>
            <w:vAlign w:val="center"/>
          </w:tcPr>
          <w:p w:rsidR="00000000" w:rsidDel="00000000" w:rsidP="00000000" w:rsidRDefault="00000000" w:rsidRPr="00000000" w14:paraId="00000092">
            <w:pPr>
              <w:jc w:val="center"/>
              <w:rPr/>
            </w:pPr>
            <w:r w:rsidDel="00000000" w:rsidR="00000000" w:rsidRPr="00000000">
              <w:rPr>
                <w:rtl w:val="0"/>
              </w:rPr>
              <w:t xml:space="preserve">-</w:t>
            </w:r>
          </w:p>
        </w:tc>
        <w:tc>
          <w:tcPr>
            <w:vAlign w:val="center"/>
          </w:tcPr>
          <w:p w:rsidR="00000000" w:rsidDel="00000000" w:rsidP="00000000" w:rsidRDefault="00000000" w:rsidRPr="00000000" w14:paraId="00000093">
            <w:pPr>
              <w:jc w:val="center"/>
              <w:rPr/>
            </w:pPr>
            <w:r w:rsidDel="00000000" w:rsidR="00000000" w:rsidRPr="00000000">
              <w:rPr>
                <w:rtl w:val="0"/>
              </w:rPr>
              <w:t xml:space="preserve">124.7</w:t>
            </w:r>
          </w:p>
        </w:tc>
        <w:tc>
          <w:tcPr>
            <w:vAlign w:val="center"/>
          </w:tcPr>
          <w:p w:rsidR="00000000" w:rsidDel="00000000" w:rsidP="00000000" w:rsidRDefault="00000000" w:rsidRPr="00000000" w14:paraId="00000094">
            <w:pPr>
              <w:jc w:val="center"/>
              <w:rPr/>
            </w:pPr>
            <w:r w:rsidDel="00000000" w:rsidR="00000000" w:rsidRPr="00000000">
              <w:rPr>
                <w:rtl w:val="0"/>
              </w:rPr>
              <w:t xml:space="preserve">44.5</w:t>
            </w:r>
          </w:p>
        </w:tc>
      </w:tr>
      <w:tr>
        <w:trPr>
          <w:cantSplit w:val="0"/>
          <w:tblHeader w:val="0"/>
        </w:trPr>
        <w:tc>
          <w:tcPr/>
          <w:p w:rsidR="00000000" w:rsidDel="00000000" w:rsidP="00000000" w:rsidRDefault="00000000" w:rsidRPr="00000000" w14:paraId="00000095">
            <w:pPr>
              <w:jc w:val="center"/>
              <w:rPr>
                <w:i w:val="1"/>
              </w:rPr>
            </w:pPr>
            <w:r w:rsidDel="00000000" w:rsidR="00000000" w:rsidRPr="00000000">
              <w:rPr>
                <w:i w:val="1"/>
                <w:rtl w:val="0"/>
              </w:rPr>
              <w:t xml:space="preserve">L (mm) </w:t>
            </w:r>
          </w:p>
        </w:tc>
        <w:tc>
          <w:tcPr>
            <w:vAlign w:val="center"/>
          </w:tcPr>
          <w:p w:rsidR="00000000" w:rsidDel="00000000" w:rsidP="00000000" w:rsidRDefault="00000000" w:rsidRPr="00000000" w14:paraId="00000096">
            <w:pPr>
              <w:jc w:val="center"/>
              <w:rPr/>
            </w:pPr>
            <w:r w:rsidDel="00000000" w:rsidR="00000000" w:rsidRPr="00000000">
              <w:rPr>
                <w:rtl w:val="0"/>
              </w:rPr>
              <w:t xml:space="preserve">399.9</w:t>
            </w:r>
          </w:p>
        </w:tc>
        <w:tc>
          <w:tcPr>
            <w:vAlign w:val="center"/>
          </w:tcPr>
          <w:p w:rsidR="00000000" w:rsidDel="00000000" w:rsidP="00000000" w:rsidRDefault="00000000" w:rsidRPr="00000000" w14:paraId="00000097">
            <w:pPr>
              <w:jc w:val="center"/>
              <w:rPr/>
            </w:pPr>
            <w:r w:rsidDel="00000000" w:rsidR="00000000" w:rsidRPr="00000000">
              <w:rPr>
                <w:rtl w:val="0"/>
              </w:rPr>
              <w:t xml:space="preserve">205.5</w:t>
            </w:r>
          </w:p>
        </w:tc>
        <w:tc>
          <w:tcPr>
            <w:vAlign w:val="center"/>
          </w:tcPr>
          <w:p w:rsidR="00000000" w:rsidDel="00000000" w:rsidP="00000000" w:rsidRDefault="00000000" w:rsidRPr="00000000" w14:paraId="00000098">
            <w:pPr>
              <w:jc w:val="center"/>
              <w:rPr/>
            </w:pPr>
            <w:r w:rsidDel="00000000" w:rsidR="00000000" w:rsidRPr="00000000">
              <w:rPr>
                <w:rtl w:val="0"/>
              </w:rPr>
              <w:t xml:space="preserve">377.6</w:t>
            </w:r>
          </w:p>
        </w:tc>
        <w:tc>
          <w:tcPr>
            <w:vAlign w:val="center"/>
          </w:tcPr>
          <w:p w:rsidR="00000000" w:rsidDel="00000000" w:rsidP="00000000" w:rsidRDefault="00000000" w:rsidRPr="00000000" w14:paraId="00000099">
            <w:pPr>
              <w:jc w:val="center"/>
              <w:rPr/>
            </w:pPr>
            <w:r w:rsidDel="00000000" w:rsidR="00000000" w:rsidRPr="00000000">
              <w:rPr>
                <w:rtl w:val="0"/>
              </w:rPr>
              <w:t xml:space="preserve">122.6</w:t>
            </w:r>
          </w:p>
        </w:tc>
      </w:tr>
      <w:tr>
        <w:trPr>
          <w:cantSplit w:val="0"/>
          <w:tblHeader w:val="0"/>
        </w:trPr>
        <w:tc>
          <w:tcPr/>
          <w:p w:rsidR="00000000" w:rsidDel="00000000" w:rsidP="00000000" w:rsidRDefault="00000000" w:rsidRPr="00000000" w14:paraId="0000009A">
            <w:pPr>
              <w:jc w:val="center"/>
              <w:rPr>
                <w:i w:val="1"/>
              </w:rPr>
            </w:pPr>
            <w:r w:rsidDel="00000000" w:rsidR="00000000" w:rsidRPr="00000000">
              <w:rPr>
                <w:i w:val="1"/>
                <w:rtl w:val="0"/>
              </w:rPr>
              <w:t xml:space="preserve">L/B</w:t>
            </w:r>
          </w:p>
        </w:tc>
        <w:tc>
          <w:tcPr>
            <w:vAlign w:val="center"/>
          </w:tcPr>
          <w:p w:rsidR="00000000" w:rsidDel="00000000" w:rsidP="00000000" w:rsidRDefault="00000000" w:rsidRPr="00000000" w14:paraId="0000009B">
            <w:pPr>
              <w:jc w:val="center"/>
              <w:rPr/>
            </w:pPr>
            <w:r w:rsidDel="00000000" w:rsidR="00000000" w:rsidRPr="00000000">
              <w:rPr>
                <w:rtl w:val="0"/>
              </w:rPr>
              <w:t xml:space="preserve">-</w:t>
            </w:r>
          </w:p>
        </w:tc>
        <w:tc>
          <w:tcPr>
            <w:vAlign w:val="center"/>
          </w:tcPr>
          <w:p w:rsidR="00000000" w:rsidDel="00000000" w:rsidP="00000000" w:rsidRDefault="00000000" w:rsidRPr="00000000" w14:paraId="0000009C">
            <w:pPr>
              <w:jc w:val="center"/>
              <w:rPr/>
            </w:pPr>
            <w:r w:rsidDel="00000000" w:rsidR="00000000" w:rsidRPr="00000000">
              <w:rPr>
                <w:rtl w:val="0"/>
              </w:rPr>
              <w:t xml:space="preserve">-</w:t>
            </w:r>
          </w:p>
        </w:tc>
        <w:tc>
          <w:tcPr>
            <w:vAlign w:val="center"/>
          </w:tcPr>
          <w:p w:rsidR="00000000" w:rsidDel="00000000" w:rsidP="00000000" w:rsidRDefault="00000000" w:rsidRPr="00000000" w14:paraId="0000009D">
            <w:pPr>
              <w:jc w:val="center"/>
              <w:rPr/>
            </w:pPr>
            <w:r w:rsidDel="00000000" w:rsidR="00000000" w:rsidRPr="00000000">
              <w:rPr>
                <w:rtl w:val="0"/>
              </w:rPr>
              <w:t xml:space="preserve">3.2</w:t>
            </w:r>
          </w:p>
        </w:tc>
        <w:tc>
          <w:tcPr>
            <w:vAlign w:val="center"/>
          </w:tcPr>
          <w:p w:rsidR="00000000" w:rsidDel="00000000" w:rsidP="00000000" w:rsidRDefault="00000000" w:rsidRPr="00000000" w14:paraId="0000009E">
            <w:pPr>
              <w:jc w:val="center"/>
              <w:rPr/>
            </w:pPr>
            <w:r w:rsidDel="00000000" w:rsidR="00000000" w:rsidRPr="00000000">
              <w:rPr>
                <w:rtl w:val="0"/>
              </w:rPr>
              <w:t xml:space="preserve">0.8</w:t>
            </w:r>
          </w:p>
        </w:tc>
      </w:tr>
      <w:tr>
        <w:trPr>
          <w:cantSplit w:val="0"/>
          <w:tblHeader w:val="0"/>
        </w:trPr>
        <w:tc>
          <w:tcPr/>
          <w:p w:rsidR="00000000" w:rsidDel="00000000" w:rsidP="00000000" w:rsidRDefault="00000000" w:rsidRPr="00000000" w14:paraId="0000009F">
            <w:pPr>
              <w:jc w:val="center"/>
              <w:rPr>
                <w:i w:val="1"/>
              </w:rPr>
            </w:pPr>
            <w:r w:rsidDel="00000000" w:rsidR="00000000" w:rsidRPr="00000000">
              <w:rPr>
                <w:i w:val="1"/>
                <w:rtl w:val="0"/>
              </w:rPr>
              <w:t xml:space="preserve">L/D</w:t>
            </w:r>
          </w:p>
        </w:tc>
        <w:tc>
          <w:tcPr>
            <w:vAlign w:val="center"/>
          </w:tcPr>
          <w:p w:rsidR="00000000" w:rsidDel="00000000" w:rsidP="00000000" w:rsidRDefault="00000000" w:rsidRPr="00000000" w14:paraId="000000A0">
            <w:pPr>
              <w:jc w:val="center"/>
              <w:rPr/>
            </w:pPr>
            <w:r w:rsidDel="00000000" w:rsidR="00000000" w:rsidRPr="00000000">
              <w:rPr>
                <w:rtl w:val="0"/>
              </w:rPr>
              <w:t xml:space="preserve">3</w:t>
            </w:r>
          </w:p>
        </w:tc>
        <w:tc>
          <w:tcPr>
            <w:vAlign w:val="center"/>
          </w:tcPr>
          <w:p w:rsidR="00000000" w:rsidDel="00000000" w:rsidP="00000000" w:rsidRDefault="00000000" w:rsidRPr="00000000" w14:paraId="000000A1">
            <w:pPr>
              <w:jc w:val="center"/>
              <w:rPr/>
            </w:pPr>
            <w:r w:rsidDel="00000000" w:rsidR="00000000" w:rsidRPr="00000000">
              <w:rPr>
                <w:rtl w:val="0"/>
              </w:rPr>
              <w:t xml:space="preserve">0.5</w:t>
            </w:r>
          </w:p>
        </w:tc>
        <w:tc>
          <w:tcPr>
            <w:vAlign w:val="center"/>
          </w:tcPr>
          <w:p w:rsidR="00000000" w:rsidDel="00000000" w:rsidP="00000000" w:rsidRDefault="00000000" w:rsidRPr="00000000" w14:paraId="000000A2">
            <w:pPr>
              <w:jc w:val="center"/>
              <w:rPr/>
            </w:pPr>
            <w:r w:rsidDel="00000000" w:rsidR="00000000" w:rsidRPr="00000000">
              <w:rPr>
                <w:rtl w:val="0"/>
              </w:rPr>
              <w:t xml:space="preserve">-</w:t>
            </w:r>
          </w:p>
        </w:tc>
        <w:tc>
          <w:tcPr>
            <w:vAlign w:val="center"/>
          </w:tcPr>
          <w:p w:rsidR="00000000" w:rsidDel="00000000" w:rsidP="00000000" w:rsidRDefault="00000000" w:rsidRPr="00000000" w14:paraId="000000A3">
            <w:pPr>
              <w:jc w:val="cente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A4">
            <w:pPr>
              <w:jc w:val="center"/>
              <w:rPr>
                <w:i w:val="1"/>
              </w:rPr>
            </w:pPr>
            <w:r w:rsidDel="00000000" w:rsidR="00000000" w:rsidRPr="00000000">
              <w:rPr>
                <w:i w:val="1"/>
                <w:rtl w:val="0"/>
              </w:rPr>
              <w:t xml:space="preserve">E</w:t>
            </w:r>
            <w:r w:rsidDel="00000000" w:rsidR="00000000" w:rsidRPr="00000000">
              <w:rPr>
                <w:vertAlign w:val="subscript"/>
                <w:rtl w:val="0"/>
              </w:rPr>
              <w:t xml:space="preserve">o </w:t>
            </w:r>
            <w:r w:rsidDel="00000000" w:rsidR="00000000" w:rsidRPr="00000000">
              <w:rPr>
                <w:rtl w:val="0"/>
              </w:rPr>
              <w:t xml:space="preserve">(MPa)</w:t>
            </w:r>
            <w:r w:rsidDel="00000000" w:rsidR="00000000" w:rsidRPr="00000000">
              <w:rPr>
                <w:rtl w:val="0"/>
              </w:rPr>
            </w:r>
          </w:p>
        </w:tc>
        <w:tc>
          <w:tcPr>
            <w:vAlign w:val="center"/>
          </w:tcPr>
          <w:p w:rsidR="00000000" w:rsidDel="00000000" w:rsidP="00000000" w:rsidRDefault="00000000" w:rsidRPr="00000000" w14:paraId="000000A5">
            <w:pPr>
              <w:jc w:val="center"/>
              <w:rPr/>
            </w:pPr>
            <w:r w:rsidDel="00000000" w:rsidR="00000000" w:rsidRPr="00000000">
              <w:rPr>
                <w:rtl w:val="0"/>
              </w:rPr>
              <w:t xml:space="preserve">196780.3</w:t>
            </w:r>
          </w:p>
        </w:tc>
        <w:tc>
          <w:tcPr>
            <w:vAlign w:val="center"/>
          </w:tcPr>
          <w:p w:rsidR="00000000" w:rsidDel="00000000" w:rsidP="00000000" w:rsidRDefault="00000000" w:rsidRPr="00000000" w14:paraId="000000A6">
            <w:pPr>
              <w:jc w:val="center"/>
              <w:rPr/>
            </w:pPr>
            <w:r w:rsidDel="00000000" w:rsidR="00000000" w:rsidRPr="00000000">
              <w:rPr>
                <w:rtl w:val="0"/>
              </w:rPr>
              <w:t xml:space="preserve">7491.6</w:t>
            </w:r>
          </w:p>
        </w:tc>
        <w:tc>
          <w:tcPr>
            <w:vAlign w:val="center"/>
          </w:tcPr>
          <w:p w:rsidR="00000000" w:rsidDel="00000000" w:rsidP="00000000" w:rsidRDefault="00000000" w:rsidRPr="00000000" w14:paraId="000000A7">
            <w:pPr>
              <w:jc w:val="center"/>
              <w:rPr/>
            </w:pPr>
            <w:r w:rsidDel="00000000" w:rsidR="00000000" w:rsidRPr="00000000">
              <w:rPr>
                <w:rtl w:val="0"/>
              </w:rPr>
              <w:t xml:space="preserve">199730.0</w:t>
            </w:r>
          </w:p>
        </w:tc>
        <w:tc>
          <w:tcPr>
            <w:vAlign w:val="center"/>
          </w:tcPr>
          <w:p w:rsidR="00000000" w:rsidDel="00000000" w:rsidP="00000000" w:rsidRDefault="00000000" w:rsidRPr="00000000" w14:paraId="000000A8">
            <w:pPr>
              <w:jc w:val="center"/>
              <w:rPr/>
            </w:pPr>
            <w:r w:rsidDel="00000000" w:rsidR="00000000" w:rsidRPr="00000000">
              <w:rPr>
                <w:rtl w:val="0"/>
              </w:rPr>
              <w:t xml:space="preserve">6793.5</w:t>
            </w:r>
          </w:p>
        </w:tc>
      </w:tr>
      <w:tr>
        <w:trPr>
          <w:cantSplit w:val="0"/>
          <w:tblHeader w:val="0"/>
        </w:trPr>
        <w:tc>
          <w:tcPr/>
          <w:p w:rsidR="00000000" w:rsidDel="00000000" w:rsidP="00000000" w:rsidRDefault="00000000" w:rsidRPr="00000000" w14:paraId="000000A9">
            <w:pPr>
              <w:jc w:val="center"/>
              <w:rPr>
                <w:i w:val="1"/>
              </w:rPr>
            </w:pPr>
            <w:r w:rsidDel="00000000" w:rsidR="00000000" w:rsidRPr="00000000">
              <w:rPr>
                <w:i w:val="1"/>
                <w:rtl w:val="0"/>
              </w:rPr>
              <w:t xml:space="preserve">f</w:t>
            </w:r>
            <w:r w:rsidDel="00000000" w:rsidR="00000000" w:rsidRPr="00000000">
              <w:rPr>
                <w:vertAlign w:val="subscript"/>
                <w:rtl w:val="0"/>
              </w:rPr>
              <w:t xml:space="preserve">0.2 </w:t>
            </w:r>
            <w:r w:rsidDel="00000000" w:rsidR="00000000" w:rsidRPr="00000000">
              <w:rPr>
                <w:rtl w:val="0"/>
              </w:rPr>
              <w:t xml:space="preserve">(MPa)</w:t>
            </w:r>
            <w:r w:rsidDel="00000000" w:rsidR="00000000" w:rsidRPr="00000000">
              <w:rPr>
                <w:rtl w:val="0"/>
              </w:rPr>
            </w:r>
          </w:p>
        </w:tc>
        <w:tc>
          <w:tcPr>
            <w:vAlign w:val="center"/>
          </w:tcPr>
          <w:p w:rsidR="00000000" w:rsidDel="00000000" w:rsidP="00000000" w:rsidRDefault="00000000" w:rsidRPr="00000000" w14:paraId="000000AA">
            <w:pPr>
              <w:jc w:val="center"/>
              <w:rPr/>
            </w:pPr>
            <w:r w:rsidDel="00000000" w:rsidR="00000000" w:rsidRPr="00000000">
              <w:rPr>
                <w:rtl w:val="0"/>
              </w:rPr>
              <w:t xml:space="preserve">324.5</w:t>
            </w:r>
          </w:p>
        </w:tc>
        <w:tc>
          <w:tcPr>
            <w:vAlign w:val="center"/>
          </w:tcPr>
          <w:p w:rsidR="00000000" w:rsidDel="00000000" w:rsidP="00000000" w:rsidRDefault="00000000" w:rsidRPr="00000000" w14:paraId="000000AB">
            <w:pPr>
              <w:jc w:val="center"/>
              <w:rPr/>
            </w:pPr>
            <w:r w:rsidDel="00000000" w:rsidR="00000000" w:rsidRPr="00000000">
              <w:rPr>
                <w:rtl w:val="0"/>
              </w:rPr>
              <w:t xml:space="preserve">72.2</w:t>
            </w:r>
          </w:p>
        </w:tc>
        <w:tc>
          <w:tcPr>
            <w:vAlign w:val="center"/>
          </w:tcPr>
          <w:p w:rsidR="00000000" w:rsidDel="00000000" w:rsidP="00000000" w:rsidRDefault="00000000" w:rsidRPr="00000000" w14:paraId="000000AC">
            <w:pPr>
              <w:jc w:val="center"/>
              <w:rPr/>
            </w:pPr>
            <w:r w:rsidDel="00000000" w:rsidR="00000000" w:rsidRPr="00000000">
              <w:rPr>
                <w:rtl w:val="0"/>
              </w:rPr>
              <w:t xml:space="preserve">433.1</w:t>
            </w:r>
          </w:p>
        </w:tc>
        <w:tc>
          <w:tcPr>
            <w:vAlign w:val="center"/>
          </w:tcPr>
          <w:p w:rsidR="00000000" w:rsidDel="00000000" w:rsidP="00000000" w:rsidRDefault="00000000" w:rsidRPr="00000000" w14:paraId="000000AD">
            <w:pPr>
              <w:jc w:val="center"/>
              <w:rPr/>
            </w:pPr>
            <w:r w:rsidDel="00000000" w:rsidR="00000000" w:rsidRPr="00000000">
              <w:rPr>
                <w:rtl w:val="0"/>
              </w:rPr>
              <w:t xml:space="preserve">101.1</w:t>
            </w:r>
          </w:p>
        </w:tc>
      </w:tr>
      <w:tr>
        <w:trPr>
          <w:cantSplit w:val="0"/>
          <w:tblHeader w:val="0"/>
        </w:trPr>
        <w:tc>
          <w:tcPr/>
          <w:p w:rsidR="00000000" w:rsidDel="00000000" w:rsidP="00000000" w:rsidRDefault="00000000" w:rsidRPr="00000000" w14:paraId="000000AE">
            <w:pPr>
              <w:jc w:val="center"/>
              <w:rPr>
                <w:i w:val="1"/>
              </w:rPr>
            </w:pPr>
            <w:r w:rsidDel="00000000" w:rsidR="00000000" w:rsidRPr="00000000">
              <w:rPr>
                <w:i w:val="1"/>
                <w:rtl w:val="0"/>
              </w:rPr>
              <w:t xml:space="preserve">f</w:t>
            </w:r>
            <w:r w:rsidDel="00000000" w:rsidR="00000000" w:rsidRPr="00000000">
              <w:rPr>
                <w:vertAlign w:val="subscript"/>
                <w:rtl w:val="0"/>
              </w:rPr>
              <w:t xml:space="preserve">u</w:t>
            </w:r>
            <w:r w:rsidDel="00000000" w:rsidR="00000000" w:rsidRPr="00000000">
              <w:rPr>
                <w:rtl w:val="0"/>
              </w:rPr>
              <w:t xml:space="preserve"> (MPa)</w:t>
            </w:r>
            <w:r w:rsidDel="00000000" w:rsidR="00000000" w:rsidRPr="00000000">
              <w:rPr>
                <w:rtl w:val="0"/>
              </w:rPr>
            </w:r>
          </w:p>
        </w:tc>
        <w:tc>
          <w:tcPr>
            <w:vAlign w:val="center"/>
          </w:tcPr>
          <w:p w:rsidR="00000000" w:rsidDel="00000000" w:rsidP="00000000" w:rsidRDefault="00000000" w:rsidRPr="00000000" w14:paraId="000000AF">
            <w:pPr>
              <w:jc w:val="center"/>
              <w:rPr/>
            </w:pPr>
            <w:r w:rsidDel="00000000" w:rsidR="00000000" w:rsidRPr="00000000">
              <w:rPr>
                <w:rtl w:val="0"/>
              </w:rPr>
              <w:t xml:space="preserve">692.0</w:t>
            </w:r>
          </w:p>
        </w:tc>
        <w:tc>
          <w:tcPr>
            <w:vAlign w:val="center"/>
          </w:tcPr>
          <w:p w:rsidR="00000000" w:rsidDel="00000000" w:rsidP="00000000" w:rsidRDefault="00000000" w:rsidRPr="00000000" w14:paraId="000000B0">
            <w:pPr>
              <w:jc w:val="center"/>
              <w:rPr/>
            </w:pPr>
            <w:r w:rsidDel="00000000" w:rsidR="00000000" w:rsidRPr="00000000">
              <w:rPr>
                <w:rtl w:val="0"/>
              </w:rPr>
              <w:t xml:space="preserve">58.9</w:t>
            </w:r>
          </w:p>
        </w:tc>
        <w:tc>
          <w:tcPr>
            <w:vAlign w:val="center"/>
          </w:tcPr>
          <w:p w:rsidR="00000000" w:rsidDel="00000000" w:rsidP="00000000" w:rsidRDefault="00000000" w:rsidRPr="00000000" w14:paraId="000000B1">
            <w:pPr>
              <w:jc w:val="center"/>
              <w:rPr/>
            </w:pPr>
            <w:r w:rsidDel="00000000" w:rsidR="00000000" w:rsidRPr="00000000">
              <w:rPr>
                <w:rtl w:val="0"/>
              </w:rPr>
              <w:t xml:space="preserve">674.7</w:t>
            </w:r>
          </w:p>
        </w:tc>
        <w:tc>
          <w:tcPr>
            <w:vAlign w:val="center"/>
          </w:tcPr>
          <w:p w:rsidR="00000000" w:rsidDel="00000000" w:rsidP="00000000" w:rsidRDefault="00000000" w:rsidRPr="00000000" w14:paraId="000000B2">
            <w:pPr>
              <w:jc w:val="center"/>
              <w:rPr/>
            </w:pPr>
            <w:r w:rsidDel="00000000" w:rsidR="00000000" w:rsidRPr="00000000">
              <w:rPr>
                <w:rtl w:val="0"/>
              </w:rPr>
              <w:t xml:space="preserve">120.9</w:t>
            </w:r>
          </w:p>
        </w:tc>
      </w:tr>
      <w:tr>
        <w:trPr>
          <w:cantSplit w:val="0"/>
          <w:tblHeader w:val="0"/>
        </w:trPr>
        <w:tc>
          <w:tcPr/>
          <w:p w:rsidR="00000000" w:rsidDel="00000000" w:rsidP="00000000" w:rsidRDefault="00000000" w:rsidRPr="00000000" w14:paraId="000000B3">
            <w:pPr>
              <w:jc w:val="center"/>
              <w:rPr/>
            </w:pPr>
            <w:r w:rsidDel="00000000" w:rsidR="00000000" w:rsidRPr="00000000">
              <w:rPr>
                <w:i w:val="1"/>
                <w:rtl w:val="0"/>
              </w:rPr>
              <w:t xml:space="preserve">n </w:t>
            </w:r>
            <w:r w:rsidDel="00000000" w:rsidR="00000000" w:rsidRPr="00000000">
              <w:rPr>
                <w:rtl w:val="0"/>
              </w:rPr>
            </w:r>
          </w:p>
        </w:tc>
        <w:tc>
          <w:tcPr>
            <w:vAlign w:val="center"/>
          </w:tcPr>
          <w:p w:rsidR="00000000" w:rsidDel="00000000" w:rsidP="00000000" w:rsidRDefault="00000000" w:rsidRPr="00000000" w14:paraId="000000B4">
            <w:pPr>
              <w:jc w:val="center"/>
              <w:rPr/>
            </w:pPr>
            <w:r w:rsidDel="00000000" w:rsidR="00000000" w:rsidRPr="00000000">
              <w:rPr>
                <w:rtl w:val="0"/>
              </w:rPr>
              <w:t xml:space="preserve">6.0</w:t>
            </w:r>
          </w:p>
        </w:tc>
        <w:tc>
          <w:tcPr>
            <w:vAlign w:val="center"/>
          </w:tcPr>
          <w:p w:rsidR="00000000" w:rsidDel="00000000" w:rsidP="00000000" w:rsidRDefault="00000000" w:rsidRPr="00000000" w14:paraId="000000B5">
            <w:pPr>
              <w:jc w:val="center"/>
              <w:rPr/>
            </w:pPr>
            <w:r w:rsidDel="00000000" w:rsidR="00000000" w:rsidRPr="00000000">
              <w:rPr>
                <w:rtl w:val="0"/>
              </w:rPr>
              <w:t xml:space="preserve">1.7</w:t>
            </w:r>
          </w:p>
        </w:tc>
        <w:tc>
          <w:tcPr>
            <w:vAlign w:val="center"/>
          </w:tcPr>
          <w:p w:rsidR="00000000" w:rsidDel="00000000" w:rsidP="00000000" w:rsidRDefault="00000000" w:rsidRPr="00000000" w14:paraId="000000B6">
            <w:pPr>
              <w:jc w:val="center"/>
              <w:rPr/>
            </w:pPr>
            <w:r w:rsidDel="00000000" w:rsidR="00000000" w:rsidRPr="00000000">
              <w:rPr>
                <w:rtl w:val="0"/>
              </w:rPr>
              <w:t xml:space="preserve">6.3</w:t>
            </w:r>
          </w:p>
        </w:tc>
        <w:tc>
          <w:tcPr>
            <w:vAlign w:val="center"/>
          </w:tcPr>
          <w:p w:rsidR="00000000" w:rsidDel="00000000" w:rsidP="00000000" w:rsidRDefault="00000000" w:rsidRPr="00000000" w14:paraId="000000B7">
            <w:pPr>
              <w:jc w:val="center"/>
              <w:rPr/>
            </w:pPr>
            <w:r w:rsidDel="00000000" w:rsidR="00000000" w:rsidRPr="00000000">
              <w:rPr>
                <w:rtl w:val="0"/>
              </w:rPr>
              <w:t xml:space="preserve">2.0</w:t>
            </w:r>
          </w:p>
        </w:tc>
      </w:tr>
      <w:tr>
        <w:trPr>
          <w:cantSplit w:val="0"/>
          <w:tblHeader w:val="0"/>
        </w:trPr>
        <w:tc>
          <w:tcPr>
            <w:tcBorders>
              <w:bottom w:color="000000" w:space="0" w:sz="4" w:val="single"/>
            </w:tcBorders>
          </w:tcPr>
          <w:p w:rsidR="00000000" w:rsidDel="00000000" w:rsidP="00000000" w:rsidRDefault="00000000" w:rsidRPr="00000000" w14:paraId="000000B8">
            <w:pPr>
              <w:jc w:val="center"/>
              <w:rPr>
                <w:i w:val="1"/>
              </w:rPr>
            </w:pPr>
            <w:r w:rsidDel="00000000" w:rsidR="00000000" w:rsidRPr="00000000">
              <w:rPr>
                <w:i w:val="1"/>
                <w:rtl w:val="0"/>
              </w:rPr>
              <w:t xml:space="preserve">f</w:t>
            </w:r>
            <w:r w:rsidDel="00000000" w:rsidR="00000000" w:rsidRPr="00000000">
              <w:rPr>
                <w:vertAlign w:val="subscript"/>
                <w:rtl w:val="0"/>
              </w:rPr>
              <w:t xml:space="preserve">c</w:t>
            </w:r>
            <w:r w:rsidDel="00000000" w:rsidR="00000000" w:rsidRPr="00000000">
              <w:rPr>
                <w:i w:val="1"/>
                <w:rtl w:val="0"/>
              </w:rPr>
              <w:t xml:space="preserve">’ (</w:t>
            </w:r>
            <w:r w:rsidDel="00000000" w:rsidR="00000000" w:rsidRPr="00000000">
              <w:rPr>
                <w:rtl w:val="0"/>
              </w:rPr>
              <w:t xml:space="preserve">MPa</w:t>
            </w:r>
            <w:r w:rsidDel="00000000" w:rsidR="00000000" w:rsidRPr="00000000">
              <w:rPr>
                <w:i w:val="1"/>
                <w:rtl w:val="0"/>
              </w:rPr>
              <w:t xml:space="preserve">)</w:t>
            </w:r>
          </w:p>
        </w:tc>
        <w:tc>
          <w:tcPr>
            <w:tcBorders>
              <w:bottom w:color="000000" w:space="0" w:sz="4" w:val="single"/>
            </w:tcBorders>
            <w:vAlign w:val="center"/>
          </w:tcPr>
          <w:p w:rsidR="00000000" w:rsidDel="00000000" w:rsidP="00000000" w:rsidRDefault="00000000" w:rsidRPr="00000000" w14:paraId="000000B9">
            <w:pPr>
              <w:jc w:val="center"/>
              <w:rPr/>
            </w:pPr>
            <w:r w:rsidDel="00000000" w:rsidR="00000000" w:rsidRPr="00000000">
              <w:rPr>
                <w:rtl w:val="0"/>
              </w:rPr>
              <w:t xml:space="preserve">52.1</w:t>
            </w:r>
          </w:p>
        </w:tc>
        <w:tc>
          <w:tcPr>
            <w:tcBorders>
              <w:bottom w:color="000000" w:space="0" w:sz="4" w:val="single"/>
            </w:tcBorders>
            <w:vAlign w:val="center"/>
          </w:tcPr>
          <w:p w:rsidR="00000000" w:rsidDel="00000000" w:rsidP="00000000" w:rsidRDefault="00000000" w:rsidRPr="00000000" w14:paraId="000000BA">
            <w:pPr>
              <w:jc w:val="center"/>
              <w:rPr/>
            </w:pPr>
            <w:r w:rsidDel="00000000" w:rsidR="00000000" w:rsidRPr="00000000">
              <w:rPr>
                <w:rtl w:val="0"/>
              </w:rPr>
              <w:t xml:space="preserve">29.1</w:t>
            </w:r>
          </w:p>
        </w:tc>
        <w:tc>
          <w:tcPr>
            <w:tcBorders>
              <w:bottom w:color="000000" w:space="0" w:sz="4" w:val="single"/>
            </w:tcBorders>
            <w:vAlign w:val="center"/>
          </w:tcPr>
          <w:p w:rsidR="00000000" w:rsidDel="00000000" w:rsidP="00000000" w:rsidRDefault="00000000" w:rsidRPr="00000000" w14:paraId="000000BB">
            <w:pPr>
              <w:jc w:val="center"/>
              <w:rPr/>
            </w:pPr>
            <w:r w:rsidDel="00000000" w:rsidR="00000000" w:rsidRPr="00000000">
              <w:rPr>
                <w:rtl w:val="0"/>
              </w:rPr>
              <w:t xml:space="preserve">48.0</w:t>
            </w:r>
          </w:p>
        </w:tc>
        <w:tc>
          <w:tcPr>
            <w:tcBorders>
              <w:bottom w:color="000000" w:space="0" w:sz="4" w:val="single"/>
            </w:tcBorders>
            <w:vAlign w:val="center"/>
          </w:tcPr>
          <w:p w:rsidR="00000000" w:rsidDel="00000000" w:rsidP="00000000" w:rsidRDefault="00000000" w:rsidRPr="00000000" w14:paraId="000000BC">
            <w:pPr>
              <w:jc w:val="center"/>
              <w:rPr/>
            </w:pPr>
            <w:r w:rsidDel="00000000" w:rsidR="00000000" w:rsidRPr="00000000">
              <w:rPr>
                <w:rtl w:val="0"/>
              </w:rPr>
              <w:t xml:space="preserve">20.6</w:t>
            </w:r>
          </w:p>
        </w:tc>
      </w:tr>
    </w:tbl>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000000"/>
          <w:sz w:val="20"/>
          <w:szCs w:val="20"/>
          <w:u w:val="none"/>
          <w:shd w:fill="auto" w:val="clear"/>
          <w:vertAlign w:val="baseline"/>
        </w:rPr>
      </w:pPr>
      <w:bookmarkStart w:colFirst="0" w:colLast="0" w:name="_heading=h.4d34og8" w:id="8"/>
      <w:bookmarkEnd w:id="8"/>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Table 1: Mean and Standard Deviation for Input Parameters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Move forward with the development of the data-driven strength prediction ML models for CFSST columns it is imperative to identify the feature’s importance. Therefore, a correlation analysis is done on the dataset. As of now, previous studies involving data-driven approaches for strength prediction have indicated a high degree of significance of the sectional properties like D, B, t, L, etc. on the axial capacity of the specimen.</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Correlation analysis is a statistical method that quantifies the relationship between two variables. The Pearson correlation coefficient (r) indicates the strength and direction of this relationship, with values near 1 suggesting a strong positive correlation, those close to 0 indicating a weak correlation, and values approaching -1 signifying a strong negative correlation.</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Figures 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and 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represent the correlation between multiple parameters for circular and rectangular sections in the form of a correlation matrix (heatmap). </w:t>
      </w:r>
    </w:p>
    <w:p w:rsidR="00000000" w:rsidDel="00000000" w:rsidP="00000000" w:rsidRDefault="00000000" w:rsidRPr="00000000" w14:paraId="000000C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For circular sections: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Thickness (t) is the most influential dimension, with a correlation coefficient (r-value) of 0.85. Diameter (D) and length (L) follow as the second most important features, both with r values of 0.84. </w:t>
      </w:r>
    </w:p>
    <w:p w:rsidR="00000000" w:rsidDel="00000000" w:rsidP="00000000" w:rsidRDefault="00000000" w:rsidRPr="00000000" w14:paraId="000000C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For rectangular sections: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Thickness (t) again proves to be the dominant feature, giving a correlation coefficient of 0.86. Height (H) and width (B) rank as the second and third most significant parameters, with r values of 0.73 and 0.66, respectively.</w:t>
      </w:r>
    </w:p>
    <w:p w:rsidR="00000000" w:rsidDel="00000000" w:rsidP="00000000" w:rsidRDefault="00000000" w:rsidRPr="00000000" w14:paraId="000000C5">
      <w:pPr>
        <w:jc w:val="center"/>
        <w:rPr/>
      </w:pPr>
      <w:r w:rsidDel="00000000" w:rsidR="00000000" w:rsidRPr="00000000">
        <w:rPr/>
        <w:drawing>
          <wp:inline distB="0" distT="0" distL="0" distR="0">
            <wp:extent cx="4876224" cy="4121496"/>
            <wp:effectExtent b="0" l="0" r="0" t="0"/>
            <wp:docPr id="174639605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876224" cy="4121496"/>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jc w:val="center"/>
        <w:rPr/>
      </w:pPr>
      <w:bookmarkStart w:colFirst="0" w:colLast="0" w:name="_heading=h.2s8eyo1" w:id="9"/>
      <w:bookmarkEnd w:id="9"/>
      <w:r w:rsidDel="00000000" w:rsidR="00000000" w:rsidRPr="00000000">
        <w:rPr>
          <w:sz w:val="20"/>
          <w:szCs w:val="20"/>
          <w:rtl w:val="0"/>
        </w:rPr>
        <w:t xml:space="preserve">Figure 1: Correlation matrix for Rectangular CFSST columns</w:t>
      </w:r>
      <w:r w:rsidDel="00000000" w:rsidR="00000000" w:rsidRPr="00000000">
        <w:br w:type="page"/>
      </w:r>
      <w:r w:rsidDel="00000000" w:rsidR="00000000" w:rsidRPr="00000000">
        <w:rPr/>
        <w:drawing>
          <wp:inline distB="0" distT="0" distL="0" distR="0">
            <wp:extent cx="5072928" cy="4287755"/>
            <wp:effectExtent b="0" l="0" r="0" t="0"/>
            <wp:docPr id="174639605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072928" cy="4287755"/>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ind w:left="720" w:firstLine="0"/>
        <w:jc w:val="center"/>
        <w:rPr>
          <w:i w:val="1"/>
          <w:sz w:val="20"/>
          <w:szCs w:val="20"/>
        </w:rPr>
      </w:pPr>
      <w:bookmarkStart w:colFirst="0" w:colLast="0" w:name="_heading=h.17dp8vu" w:id="10"/>
      <w:bookmarkEnd w:id="10"/>
      <w:r w:rsidDel="00000000" w:rsidR="00000000" w:rsidRPr="00000000">
        <w:rPr>
          <w:i w:val="1"/>
          <w:sz w:val="20"/>
          <w:szCs w:val="20"/>
          <w:rtl w:val="0"/>
        </w:rPr>
        <w:t xml:space="preserve">Figure 2: Correlation matrix for Circular CFSST columns.</w:t>
      </w:r>
    </w:p>
    <w:p w:rsidR="00000000" w:rsidDel="00000000" w:rsidP="00000000" w:rsidRDefault="00000000" w:rsidRPr="00000000" w14:paraId="000000C8">
      <w:pPr>
        <w:rPr>
          <w:sz w:val="24"/>
          <w:szCs w:val="24"/>
        </w:rPr>
      </w:pPr>
      <w:r w:rsidDel="00000000" w:rsidR="00000000" w:rsidRPr="00000000">
        <w:rPr>
          <w:sz w:val="24"/>
          <w:szCs w:val="24"/>
          <w:rtl w:val="0"/>
        </w:rPr>
        <w:t xml:space="preserve">To further visualize the distribution of these highly correlated features, histogram plots were developed and are presented in Figures 3 and 4.</w:t>
      </w:r>
    </w:p>
    <w:p w:rsidR="00000000" w:rsidDel="00000000" w:rsidP="00000000" w:rsidRDefault="00000000" w:rsidRPr="00000000" w14:paraId="000000C9">
      <w:pPr>
        <w:jc w:val="center"/>
        <w:rPr/>
      </w:pPr>
      <w:r w:rsidDel="00000000" w:rsidR="00000000" w:rsidRPr="00000000">
        <w:rPr/>
        <w:drawing>
          <wp:inline distB="0" distT="0" distL="0" distR="0">
            <wp:extent cx="5943600" cy="2256790"/>
            <wp:effectExtent b="0" l="0" r="0" t="0"/>
            <wp:docPr id="174639605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25679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jc w:val="center"/>
        <w:rPr/>
      </w:pPr>
      <w:r w:rsidDel="00000000" w:rsidR="00000000" w:rsidRPr="00000000">
        <w:rPr>
          <w:rtl w:val="0"/>
        </w:rPr>
      </w:r>
    </w:p>
    <w:p w:rsidR="00000000" w:rsidDel="00000000" w:rsidP="00000000" w:rsidRDefault="00000000" w:rsidRPr="00000000" w14:paraId="000000CB">
      <w:pPr>
        <w:jc w:val="center"/>
        <w:rPr>
          <w:b w:val="1"/>
        </w:rPr>
      </w:pPr>
      <w:r w:rsidDel="00000000" w:rsidR="00000000" w:rsidRPr="00000000">
        <w:rPr/>
        <w:drawing>
          <wp:inline distB="0" distT="0" distL="0" distR="0">
            <wp:extent cx="6059839" cy="2300926"/>
            <wp:effectExtent b="0" l="0" r="0" t="0"/>
            <wp:docPr id="174639605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059839" cy="2300926"/>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jc w:val="center"/>
        <w:rPr>
          <w:i w:val="1"/>
          <w:sz w:val="20"/>
          <w:szCs w:val="20"/>
        </w:rPr>
      </w:pPr>
      <w:bookmarkStart w:colFirst="0" w:colLast="0" w:name="_heading=h.3rdcrjn" w:id="11"/>
      <w:bookmarkEnd w:id="11"/>
      <w:r w:rsidDel="00000000" w:rsidR="00000000" w:rsidRPr="00000000">
        <w:rPr>
          <w:i w:val="1"/>
          <w:sz w:val="20"/>
          <w:szCs w:val="20"/>
          <w:rtl w:val="0"/>
        </w:rPr>
        <w:t xml:space="preserve">Figure 3: Histograms for parameters of Rectangular CFSST columns.</w:t>
      </w:r>
    </w:p>
    <w:p w:rsidR="00000000" w:rsidDel="00000000" w:rsidP="00000000" w:rsidRDefault="00000000" w:rsidRPr="00000000" w14:paraId="000000CD">
      <w:pPr>
        <w:jc w:val="center"/>
        <w:rPr>
          <w:i w:val="1"/>
          <w:sz w:val="20"/>
          <w:szCs w:val="20"/>
        </w:rPr>
      </w:pPr>
      <w:r w:rsidDel="00000000" w:rsidR="00000000" w:rsidRPr="00000000">
        <w:rPr/>
        <w:drawing>
          <wp:inline distB="0" distT="0" distL="0" distR="0">
            <wp:extent cx="6145837" cy="2298780"/>
            <wp:effectExtent b="0" l="0" r="0" t="0"/>
            <wp:docPr id="174639605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145837" cy="229878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jc w:val="center"/>
        <w:rPr>
          <w:i w:val="1"/>
          <w:sz w:val="20"/>
          <w:szCs w:val="20"/>
        </w:rPr>
      </w:pPr>
      <w:r w:rsidDel="00000000" w:rsidR="00000000" w:rsidRPr="00000000">
        <w:rPr/>
        <w:drawing>
          <wp:inline distB="0" distT="0" distL="0" distR="0">
            <wp:extent cx="3365634" cy="2610701"/>
            <wp:effectExtent b="0" l="0" r="0" t="0"/>
            <wp:docPr id="174639605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365634" cy="2610701"/>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jc w:val="center"/>
        <w:rPr>
          <w:i w:val="1"/>
          <w:sz w:val="20"/>
          <w:szCs w:val="20"/>
        </w:rPr>
      </w:pPr>
      <w:bookmarkStart w:colFirst="0" w:colLast="0" w:name="_heading=h.26in1rg" w:id="12"/>
      <w:bookmarkEnd w:id="12"/>
      <w:r w:rsidDel="00000000" w:rsidR="00000000" w:rsidRPr="00000000">
        <w:rPr>
          <w:i w:val="1"/>
          <w:sz w:val="20"/>
          <w:szCs w:val="20"/>
          <w:rtl w:val="0"/>
        </w:rPr>
        <w:t xml:space="preserve">Figure 4: Histograms for parameters of Circular CFSST columns.</w:t>
      </w:r>
      <w:r w:rsidDel="00000000" w:rsidR="00000000" w:rsidRPr="00000000">
        <w:br w:type="page"/>
      </w:r>
      <w:r w:rsidDel="00000000" w:rsidR="00000000" w:rsidRPr="00000000">
        <w:rPr>
          <w:rtl w:val="0"/>
        </w:rPr>
      </w:r>
    </w:p>
    <w:p w:rsidR="00000000" w:rsidDel="00000000" w:rsidP="00000000" w:rsidRDefault="00000000" w:rsidRPr="00000000" w14:paraId="000000D0">
      <w:pPr>
        <w:pStyle w:val="Heading1"/>
        <w:rPr/>
      </w:pPr>
      <w:bookmarkStart w:colFirst="0" w:colLast="0" w:name="_heading=h.lnxbz9" w:id="13"/>
      <w:bookmarkEnd w:id="13"/>
      <w:r w:rsidDel="00000000" w:rsidR="00000000" w:rsidRPr="00000000">
        <w:rPr>
          <w:rtl w:val="0"/>
        </w:rPr>
        <w:t xml:space="preserve">REFERENCES</w:t>
      </w:r>
    </w:p>
    <w:p w:rsidR="00000000" w:rsidDel="00000000" w:rsidP="00000000" w:rsidRDefault="00000000" w:rsidRPr="00000000" w14:paraId="000000D1">
      <w:pPr>
        <w:pStyle w:val="Heading2"/>
        <w:rPr>
          <w:rFonts w:ascii="Calibri" w:cs="Calibri" w:eastAsia="Calibri" w:hAnsi="Calibri"/>
        </w:rPr>
      </w:pPr>
      <w:bookmarkStart w:colFirst="0" w:colLast="0" w:name="_heading=h.35nkun2" w:id="14"/>
      <w:bookmarkEnd w:id="14"/>
      <w:r w:rsidDel="00000000" w:rsidR="00000000" w:rsidRPr="00000000">
        <w:rPr>
          <w:rFonts w:ascii="Calibri" w:cs="Calibri" w:eastAsia="Calibri" w:hAnsi="Calibri"/>
          <w:rtl w:val="0"/>
        </w:rPr>
        <w:t xml:space="preserve">Database:</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H. Tang, R. Liu, X. Zhao, R. Guo, and Y. Jia, “Axial compression behavior of CFRP-confined rectangular concrete-filled stainless steel tube stub column,”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Front. Struct. Civ. Eng.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vol. 15, no. 5, pp. 1144–1159, Oct. 2021, doi: 10.1007/s11709-021-0762-4.</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L. Rao, Q. Yue, B. Huang, and X. Liu, “Axial compressive performance of novel square coral concrete-filled duplex stainless steel tubes,”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Journal of Building Engineering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vol. 49, p. 104068, May 2022, doi: 10.1016/j.jobe.2022.104068.</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W.-H. Zhang, R. Wang, H. Zhao, D. Lam, and P. Chen, “Axial-load response of CFST stub columns with external stainless steel and recycled aggregate concrete: Testing, mechanism analysis and design,”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Engineering Structures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vol. 256, p. 113968, Apr. 2022, doi: 10.1016/j.engstruct.2022.113968.</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L. Guo, Y. Liu, F. Fu, and H. Huang, “Behavior of axially loaded circular stainless steel tube confined concrete stub columns,”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Thin-Walled Structures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vol. 139, pp. 66–76, Jun. 2019, doi: 10.1016/j.tws.2019.02.014.</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Q. Ri and F. Dqg, “BEHAVIOR OF CONCRETE FILLED STAINLESS STEEL TUBULAR COLUMN UNDER AXIAL LOADS,” vol. 7, no. 1, 2019.</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tab/>
        <w:t xml:space="preserve">Y. Cai and A. K. H. Kwan, “Behaviour and design of cold-formed austenitic stainless steel circular tubes infilled with seawater sea-sand concrete,”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Engineering Structures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vol. 241, p. 112435, Aug. 2021, doi: 10.1016/j.engstruct.2021.112435.</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tab/>
        <w:t xml:space="preserve">A. He, Y. Liang, and O. Zhao, “Behaviour and residual compression resistances of circular high strength concrete-filled stainless steel tube (HCFSST) stub columns after exposure to fire,”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Engineering Structures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vol. 203, p. 109897, Jan. 2020, doi: 10.1016/j.engstruct.2019.109897.</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tab/>
        <w:t xml:space="preserve">V. W. Y. Tam, Z.-B. Wang, and Z. Tao, “Behaviour of recycled aggregate concrete filled stainless steel stub columns,”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Mater Struct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vol. 47, no. 1–2, pp. 293–310, Jan. 2014, doi: 10.1617/s11527-013-0061-1.</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tab/>
        <w:t xml:space="preserve">B. Uy, Z. Tao, and L.-H. Han, “Behaviour of short and slender concrete-filled stainless steel tubular columns,”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Journal of Constructional Steel Research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vol. 67, no. 3, pp. 360–378, Mar. 2011, doi: 10.1016/j.jcsr.2010.10.004.</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tab/>
        <w:t xml:space="preserve">S. Kazemzadeh Azad, D. Li, and B. Uy, “Compact and slender box concrete-filled stainless steel tubes under compression, bending, and combined loading,”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Journal of Constructional Steel Research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vol. 184, p. 106813, Sep. 2021, doi: 10.1016/j.jcsr.2021.106813.</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P. Dai, L. Yang, J. Wang, and Y. Zhou, “Compressive strength of concrete-filled stainless steel tube stub columns,”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Engineering Structures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vol. 205, p. 110106, Feb. 2020, doi: 10.1016/j.engstruct.2019.110106.</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A. He, A. Su, Y. Liang, and O. Zhao, “Experimental and numerical investigations of circular recycled aggregate concrete-filled stainless steel tube columns,”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Journal of Constructional Steel Research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vol. 179, p. 106566, Apr. 2021, doi: 10.1016/j.jcsr.2021.106566.</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tab/>
        <w:t xml:space="preserve">A. He and O. Zhao, “Experimental and numerical investigations of concrete-filled stainless steel tube stub columns under axial partial compression,”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Journal of Constructional Steel Research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vol. 158, pp. 405–416, Jul. 2019, doi: 10.1016/j.jcsr.2019.04.002.</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tab/>
        <w:t xml:space="preserve">A. He, F. Wang, and O. Zhao, “Experimental and numerical studies of concrete-filled high-chromium stainless steel tube (CFHSST) stub columns,”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Thin-Walled Structures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vol. 144, p. 106273, Nov. 2019, doi: 10.1016/j.tws.2019.106273.</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tab/>
        <w:t xml:space="preserve">S. Boulaares, D. Boutagouga, and A. Houam, “Experimental behavior of circular composite columns with different weld arrangements,”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Journal of Constructional Steel Research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vol. 192, p. 107229, May 2022, doi: 10.1016/j.jcsr.2022.107229.</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tab/>
        <w:t xml:space="preserve">Y.-F. Yang and G.-L. Ma, “Experimental behaviour of recycled aggregate concrete filled stainless steel tube stub columns and beams,”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Thin-Walled Structures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vol. 66, pp. 62–75, May 2013, doi: 10.1016/j.tws.2013.01.017.</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tab/>
        <w:t xml:space="preserve">B. Young and E. Ellobody, “Experimental investigation of concrete-filled cold-formed high strength stainless steel tube columns,”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Journal of Constructional Steel Research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vol. 62, no. 5, pp. 484–492, May 2006, doi: 10.1016/j.jcsr.2005.08.004.</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tab/>
        <w:t xml:space="preserve">F.-Y. Liao, C. Hou, W.-J. Zhang, and J. Ren, “Experimental investigation on sea sand concrete-filled stainless steel tubular stub columns,”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Journal of Constructional Steel Research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vol. 155, pp. 46–61, Apr. 2019, doi: 10.1016/j.jcsr.2018.12.009.</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tab/>
        <w:t xml:space="preserve">Y. Chen and Y. Huang, “Experimental research on static behavior of welded concrete-filled stainless steel square stub columns under axial compression,”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Jianzhu Jiegou Xuebao/Journal of Building Structures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vol. 34, pp. 113–118, Feb. 2013.</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tab/>
        <w:t xml:space="preserve">Y. L. Li, X. L. Zhao, R. K. R. Singh, and S. Al-Saadi, “Experimental study on seawater and sea sand concrete filled GFRP and stainless steel tubular stub columns,”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Thin-Walled Structures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vol. 106, pp. 390–406, Sep. 2016, doi: 10.1016/j.tws.2016.05.014.</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t xml:space="preserve">A. He, Y. Liang, and O. Zhao, “Flexural buckling behaviour and resistances of circular high strength concrete-filled stainless steel tube columns,”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Engineering Structures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vol. 219, p. 110893, Sep. 2020, doi: 10.1016/j.engstruct.2020.110893.</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tab/>
        <w:t xml:space="preserve">Z. Tao, B. Uy, F.-Y. Liao, and L.-H. Han, “Nonlinear analysis of concrete-filled square stainless steel stub columns under axial compression,”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Journal of Constructional Steel Research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vol. 67, no. 11, pp. 1719–1732, Nov. 2011, doi: 10.1016/j.jcsr.2011.04.012.</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tab/>
        <w:t xml:space="preserve">D. Lam and L. Gardner, “Structural design of stainless steel concrete filled columns,”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Journal of Constructional Steel Research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vol. 64, no. 11, pp. 1275–1282, Nov. 2008, doi: 10.1016/j.jcsr.2008.04.012.</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tab/>
        <w:t xml:space="preserve">A. M. Sharif, G. M. Al-Mekhlafi, and M. A. Al-Osta, “Structural performance of CFRP-strengthened concrete-filled stainless steel tubular short columns,”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Engineering Structures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vol. 183, pp. 94–109, Mar. 2019, doi: 10.1016/j.engstruct.2019.01.011.</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w:t>
        <w:tab/>
        <w:t xml:space="preserve">L. Li, “Structural performance of concrete-filled cold-formed stainless steel members,” Doctor of Philosophy, The University of Hong Kong, Pokfulam Road, Hong Kong SAR, 2017. doi: 10.5353/th_991043979524003414.</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w:t>
        <w:tab/>
        <w:t xml:space="preserve">Y. L. Li, X. L. Zhao, R. K. Raman Singh, and S. Al-Saadi, “Tests on seawater and sea sand concrete-filled CFRP, BFRP and stainless steel tubular stub columns,”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Thin-Walled Structures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vol. 108, pp. 163–184, Nov. 2016, doi: 10.1016/j.tws.2016.08.016.</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ENGG-680 Introduction to Digital Engineering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Rule="auto"/>
    </w:pPr>
    <w:rPr>
      <w:b w:val="1"/>
      <w:sz w:val="32"/>
      <w:szCs w:val="32"/>
    </w:rPr>
  </w:style>
  <w:style w:type="paragraph" w:styleId="Heading2">
    <w:name w:val="heading 2"/>
    <w:basedOn w:val="Normal"/>
    <w:next w:val="Normal"/>
    <w:pPr>
      <w:keepNext w:val="1"/>
      <w:keepLines w:val="1"/>
      <w:spacing w:after="80" w:before="40" w:lineRule="auto"/>
    </w:pPr>
    <w:rPr>
      <w:rFonts w:ascii="Calibri" w:cs="Calibri" w:eastAsia="Calibri" w:hAnsi="Calibri"/>
      <w:sz w:val="28"/>
      <w:szCs w:val="28"/>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2828E8"/>
    <w:pPr>
      <w:keepNext w:val="1"/>
      <w:keepLines w:val="1"/>
      <w:spacing w:after="120"/>
      <w:outlineLvl w:val="0"/>
    </w:pPr>
    <w:rPr>
      <w:rFonts w:eastAsia="Times New Roman" w:cstheme="minorHAnsi"/>
      <w:b w:val="1"/>
      <w:sz w:val="32"/>
      <w:szCs w:val="32"/>
    </w:rPr>
  </w:style>
  <w:style w:type="paragraph" w:styleId="Heading2">
    <w:name w:val="heading 2"/>
    <w:basedOn w:val="Normal"/>
    <w:next w:val="Normal"/>
    <w:link w:val="Heading2Char"/>
    <w:uiPriority w:val="9"/>
    <w:unhideWhenUsed w:val="1"/>
    <w:qFormat w:val="1"/>
    <w:rsid w:val="00B048CF"/>
    <w:pPr>
      <w:keepNext w:val="1"/>
      <w:keepLines w:val="1"/>
      <w:spacing w:after="80" w:before="40"/>
      <w:outlineLvl w:val="1"/>
    </w:pPr>
    <w:rPr>
      <w:rFonts w:asciiTheme="majorHAnsi" w:cstheme="majorBidi" w:eastAsiaTheme="majorEastAsia" w:hAnsiTheme="majorHAnsi"/>
      <w:sz w:val="28"/>
      <w:szCs w:val="26"/>
    </w:rPr>
  </w:style>
  <w:style w:type="paragraph" w:styleId="Heading3">
    <w:name w:val="heading 3"/>
    <w:basedOn w:val="Normal"/>
    <w:next w:val="Normal"/>
    <w:link w:val="Heading3Char"/>
    <w:uiPriority w:val="9"/>
    <w:semiHidden w:val="1"/>
    <w:unhideWhenUsed w:val="1"/>
    <w:qFormat w:val="1"/>
    <w:rsid w:val="0091394A"/>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2828E8"/>
    <w:rPr>
      <w:rFonts w:eastAsia="Times New Roman" w:cstheme="minorHAnsi"/>
      <w:b w:val="1"/>
      <w:sz w:val="32"/>
      <w:szCs w:val="32"/>
    </w:rPr>
  </w:style>
  <w:style w:type="paragraph" w:styleId="Bibliography">
    <w:name w:val="Bibliography"/>
    <w:basedOn w:val="Normal"/>
    <w:next w:val="Normal"/>
    <w:uiPriority w:val="37"/>
    <w:unhideWhenUsed w:val="1"/>
    <w:rsid w:val="00B048CF"/>
    <w:pPr>
      <w:tabs>
        <w:tab w:val="left" w:pos="504"/>
      </w:tabs>
      <w:spacing w:after="0" w:line="240" w:lineRule="auto"/>
      <w:ind w:left="504" w:hanging="504"/>
    </w:pPr>
  </w:style>
  <w:style w:type="character" w:styleId="Heading2Char" w:customStyle="1">
    <w:name w:val="Heading 2 Char"/>
    <w:basedOn w:val="DefaultParagraphFont"/>
    <w:link w:val="Heading2"/>
    <w:uiPriority w:val="9"/>
    <w:rsid w:val="00B048CF"/>
    <w:rPr>
      <w:rFonts w:asciiTheme="majorHAnsi" w:cstheme="majorBidi" w:eastAsiaTheme="majorEastAsia" w:hAnsiTheme="majorHAnsi"/>
      <w:sz w:val="28"/>
      <w:szCs w:val="26"/>
    </w:rPr>
  </w:style>
  <w:style w:type="paragraph" w:styleId="ListParagraph">
    <w:name w:val="List Paragraph"/>
    <w:basedOn w:val="Normal"/>
    <w:uiPriority w:val="34"/>
    <w:qFormat w:val="1"/>
    <w:rsid w:val="005E672E"/>
    <w:pPr>
      <w:ind w:left="720"/>
      <w:contextualSpacing w:val="1"/>
    </w:pPr>
  </w:style>
  <w:style w:type="table" w:styleId="TableGrid">
    <w:name w:val="Table Grid"/>
    <w:basedOn w:val="TableNormal"/>
    <w:uiPriority w:val="39"/>
    <w:rsid w:val="005E672E"/>
    <w:pPr>
      <w:spacing w:after="0" w:line="240" w:lineRule="auto"/>
    </w:pPr>
    <w:rPr>
      <w:kern w:val="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4B2C89"/>
    <w:pPr>
      <w:tabs>
        <w:tab w:val="center" w:pos="4680"/>
        <w:tab w:val="right" w:pos="9360"/>
      </w:tabs>
      <w:spacing w:after="0" w:line="240" w:lineRule="auto"/>
    </w:pPr>
  </w:style>
  <w:style w:type="character" w:styleId="HeaderChar" w:customStyle="1">
    <w:name w:val="Header Char"/>
    <w:basedOn w:val="DefaultParagraphFont"/>
    <w:link w:val="Header"/>
    <w:uiPriority w:val="99"/>
    <w:rsid w:val="004B2C89"/>
  </w:style>
  <w:style w:type="paragraph" w:styleId="Footer">
    <w:name w:val="footer"/>
    <w:basedOn w:val="Normal"/>
    <w:link w:val="FooterChar"/>
    <w:uiPriority w:val="99"/>
    <w:unhideWhenUsed w:val="1"/>
    <w:rsid w:val="004B2C89"/>
    <w:pPr>
      <w:tabs>
        <w:tab w:val="center" w:pos="4680"/>
        <w:tab w:val="right" w:pos="9360"/>
      </w:tabs>
      <w:spacing w:after="0" w:line="240" w:lineRule="auto"/>
    </w:pPr>
  </w:style>
  <w:style w:type="character" w:styleId="FooterChar" w:customStyle="1">
    <w:name w:val="Footer Char"/>
    <w:basedOn w:val="DefaultParagraphFont"/>
    <w:link w:val="Footer"/>
    <w:uiPriority w:val="99"/>
    <w:rsid w:val="004B2C89"/>
  </w:style>
  <w:style w:type="paragraph" w:styleId="Caption">
    <w:name w:val="caption"/>
    <w:basedOn w:val="Normal"/>
    <w:next w:val="Normal"/>
    <w:uiPriority w:val="35"/>
    <w:unhideWhenUsed w:val="1"/>
    <w:qFormat w:val="1"/>
    <w:rsid w:val="00692324"/>
    <w:pPr>
      <w:spacing w:after="200" w:line="240" w:lineRule="auto"/>
    </w:pPr>
    <w:rPr>
      <w:i w:val="1"/>
      <w:iCs w:val="1"/>
      <w:color w:val="44546a" w:themeColor="text2"/>
      <w:sz w:val="18"/>
      <w:szCs w:val="18"/>
    </w:rPr>
  </w:style>
  <w:style w:type="character" w:styleId="Heading3Char" w:customStyle="1">
    <w:name w:val="Heading 3 Char"/>
    <w:basedOn w:val="DefaultParagraphFont"/>
    <w:link w:val="Heading3"/>
    <w:uiPriority w:val="9"/>
    <w:semiHidden w:val="1"/>
    <w:rsid w:val="0091394A"/>
    <w:rPr>
      <w:rFonts w:asciiTheme="majorHAnsi" w:cstheme="majorBidi" w:eastAsiaTheme="majorEastAsia" w:hAnsiTheme="majorHAnsi"/>
      <w:color w:val="1f3763" w:themeColor="accent1" w:themeShade="00007F"/>
      <w:sz w:val="24"/>
      <w:szCs w:val="24"/>
    </w:rPr>
  </w:style>
  <w:style w:type="paragraph" w:styleId="TOCHeading">
    <w:name w:val="TOC Heading"/>
    <w:basedOn w:val="Heading1"/>
    <w:next w:val="Normal"/>
    <w:uiPriority w:val="39"/>
    <w:unhideWhenUsed w:val="1"/>
    <w:qFormat w:val="1"/>
    <w:rsid w:val="005C79EF"/>
    <w:pPr>
      <w:spacing w:after="0"/>
      <w:outlineLvl w:val="9"/>
    </w:pPr>
    <w:rPr>
      <w:b w:val="0"/>
      <w:color w:val="2f5496" w:themeColor="accent1" w:themeShade="0000BF"/>
      <w:kern w:val="0"/>
    </w:rPr>
  </w:style>
  <w:style w:type="paragraph" w:styleId="TOC2">
    <w:name w:val="toc 2"/>
    <w:basedOn w:val="Normal"/>
    <w:next w:val="Normal"/>
    <w:autoRedefine w:val="1"/>
    <w:uiPriority w:val="39"/>
    <w:unhideWhenUsed w:val="1"/>
    <w:rsid w:val="005C79EF"/>
    <w:pPr>
      <w:spacing w:after="100"/>
      <w:ind w:left="220"/>
    </w:pPr>
    <w:rPr>
      <w:rFonts w:cs="Times New Roman" w:eastAsiaTheme="minorEastAsia"/>
      <w:kern w:val="0"/>
    </w:rPr>
  </w:style>
  <w:style w:type="paragraph" w:styleId="TOC1">
    <w:name w:val="toc 1"/>
    <w:basedOn w:val="Normal"/>
    <w:next w:val="Normal"/>
    <w:autoRedefine w:val="1"/>
    <w:uiPriority w:val="39"/>
    <w:unhideWhenUsed w:val="1"/>
    <w:rsid w:val="005C79EF"/>
    <w:pPr>
      <w:spacing w:after="100"/>
    </w:pPr>
    <w:rPr>
      <w:rFonts w:cs="Times New Roman" w:eastAsiaTheme="minorEastAsia"/>
      <w:kern w:val="0"/>
    </w:rPr>
  </w:style>
  <w:style w:type="paragraph" w:styleId="TOC3">
    <w:name w:val="toc 3"/>
    <w:basedOn w:val="Normal"/>
    <w:next w:val="Normal"/>
    <w:autoRedefine w:val="1"/>
    <w:uiPriority w:val="39"/>
    <w:unhideWhenUsed w:val="1"/>
    <w:rsid w:val="005C79EF"/>
    <w:pPr>
      <w:spacing w:after="100"/>
      <w:ind w:left="440"/>
    </w:pPr>
    <w:rPr>
      <w:rFonts w:cs="Times New Roman" w:eastAsiaTheme="minorEastAsia"/>
      <w:kern w:val="0"/>
    </w:rPr>
  </w:style>
  <w:style w:type="character" w:styleId="Hyperlink">
    <w:name w:val="Hyperlink"/>
    <w:basedOn w:val="DefaultParagraphFont"/>
    <w:uiPriority w:val="99"/>
    <w:unhideWhenUsed w:val="1"/>
    <w:rsid w:val="005C79EF"/>
    <w:rPr>
      <w:color w:val="0563c1" w:themeColor="hyperlink"/>
      <w:u w:val="single"/>
    </w:rPr>
  </w:style>
  <w:style w:type="paragraph" w:styleId="TableofFigures">
    <w:name w:val="table of figures"/>
    <w:basedOn w:val="Normal"/>
    <w:next w:val="Normal"/>
    <w:uiPriority w:val="99"/>
    <w:unhideWhenUsed w:val="1"/>
    <w:rsid w:val="002828E8"/>
    <w:pPr>
      <w:spacing w:after="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jp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vEPv6bClEGILcd8gVh51S2H5g==">CgMxLjAyCGguZ2pkZ3hzMgloLjMwajB6bGwyCWguMWZvYjl0ZTIJaC4zem55c2g3MgloLjJldDkycDAyCGgudHlqY3d0MgloLjNkeTZ2a20yCWguMXQzaDVzZjIJaC40ZDM0b2c4MgloLjJzOGV5bzEyCWguMTdkcDh2dTIJaC4zcmRjcmpuMgloLjI2aW4xcmcyCGgubG54Yno5MgloLjM1bmt1bjI4AHIhMTJTLXlfR0NNOFJPTTFZQXo2TVZIbTNDMFluUVk5bHhZ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2024-10-31T20:03:00Z</dcterms:created>
  <dc:creator>Ishpreet Kapoor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c75f6ca9d64429e1c4029a8514527bac13cc64f043e45c33e10c971b8ad6d62f</vt:lpwstr>
  </property>
  <property fmtid="{D5CDD505-2E9C-101B-9397-08002B2CF9AE}" pid="3" name="ZOTERO_PREF_1">
    <vt:lpwstr>&lt;data data-version="3" zotero-version="6.0.36"&gt;&lt;session id="iNs474pN"/&gt;&lt;style id="http://www.zotero.org/styles/ieee" locale="en-US" hasBibliography="1" bibliographyStyleHasBeenSet="1"/&gt;&lt;prefs&gt;&lt;pref name="fieldType" value="Field"/&gt;&lt;/prefs&gt;&lt;/data&gt;</vt:lpwstr>
  </property>
</Properties>
</file>