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9993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30"/>
          <w:highlight w:val="none"/>
        </w:rPr>
        <w:t xml:space="preserve">ADR 0002 — Utilisation de Neon comme base de données principale</w:t>
      </w:r>
      <w:r>
        <w:rPr>
          <w:color w:val="000000" w:themeColor="text1"/>
          <w:highlight w:val="none"/>
        </w:rPr>
      </w:r>
    </w:p>
    <w:p w14:paraId="4599C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Date: 2026-04-27</w:t>
        <w:br/>
        <w:t xml:space="preserve">Statut: Accepté</w:t>
        <w:br/>
        <w:t xml:space="preserve">Auteur: Équipe de développement</w:t>
      </w:r>
      <w:r>
        <w:rPr>
          <w:color w:val="000000" w:themeColor="text1"/>
          <w:highlight w:val="none"/>
        </w:rPr>
      </w:r>
    </w:p>
    <w:p w14:paraId="2CAA02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  <w:highlight w:val="none"/>
        </w:rPr>
        <w:t xml:space="preserve">Contexte</w:t>
      </w:r>
      <w:r>
        <w:rPr>
          <w:color w:val="000000" w:themeColor="text1"/>
          <w:highlight w:val="none"/>
        </w:rPr>
      </w:r>
    </w:p>
    <w:p w14:paraId="27A041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Le projet nécessite une base de données relationnelle fiable pour stocker utilisateurs, rooms, messages et métadonnées.</w:t>
      </w:r>
      <w:r>
        <w:rPr>
          <w:color w:val="000000" w:themeColor="text1"/>
          <w:highlight w:val="none"/>
        </w:rPr>
      </w:r>
    </w:p>
    <w:p w14:paraId="3DC8B6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Les besoins : haute disponibilité, sauvegardes, connexions sécurisées (SSL), compatibilité PostgreSQL pour Prisma, et simplicité d'exploitation/scale.</w:t>
      </w:r>
      <w:r>
        <w:rPr>
          <w:color w:val="000000" w:themeColor="text1"/>
          <w:highlight w:val="none"/>
        </w:rPr>
      </w:r>
    </w:p>
    <w:p w14:paraId="0DECC0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Le dépôt contient déjà une variable d'environnement </w:t>
      </w:r>
      <w:r>
        <w:rPr>
          <w:rFonts w:ascii="Liberation Sans" w:hAnsi="Liberation Sans" w:eastAsia="Liberation Sans" w:cs="Liberation Sans"/>
          <w:color w:val="000000" w:themeColor="text1"/>
          <w:sz w:val="16"/>
          <w:highlight w:val="none"/>
        </w:rPr>
        <w:t xml:space="preserve">DATABASE_URL</w:t>
      </w: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 pointant vers une instance Neon (voir </w:t>
      </w:r>
      <w:hyperlink r:id="rId9" w:tooltip="vscode-file://vscode-app/usr/share/code/resources/app/out/vs/code/electron-browser/workbench/workbench.html" w:history="1">
        <w:r>
          <w:rPr>
            <w:rStyle w:val="187"/>
            <w:rFonts w:ascii="Liberation Sans" w:hAnsi="Liberation Sans" w:eastAsia="Liberation Sans" w:cs="Liberation Sans"/>
            <w:color w:val="000000" w:themeColor="text1"/>
            <w:sz w:val="18"/>
            <w:highlight w:val="none"/>
            <w:u w:val="none"/>
          </w:rPr>
          <w:t xml:space="preserve">.env</w:t>
        </w:r>
        <w:r>
          <w:rPr>
            <w:rStyle w:val="187"/>
            <w:rFonts w:ascii="Liberation Sans" w:hAnsi="Liberation Sans" w:eastAsia="Liberation Sans" w:cs="Liberation Sans"/>
            <w:color w:val="000000" w:themeColor="text1"/>
            <w:sz w:val="18"/>
            <w:highlight w:val="none"/>
          </w:rPr>
          <w:t xml:space="preserve">:1</w:t>
        </w:r>
      </w:hyperlink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).</w:t>
      </w:r>
      <w:r>
        <w:rPr>
          <w:color w:val="000000" w:themeColor="text1"/>
          <w:highlight w:val="none"/>
        </w:rPr>
      </w:r>
    </w:p>
    <w:p w14:paraId="27AFE32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  <w:highlight w:val="none"/>
        </w:rPr>
        <w:t xml:space="preserve">Décision</w:t>
      </w:r>
      <w:r>
        <w:rPr>
          <w:color w:val="000000" w:themeColor="text1"/>
          <w:highlight w:val="none"/>
        </w:rPr>
      </w:r>
    </w:p>
    <w:p w14:paraId="3B6C8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Adopter Neon (PostgreSQL compatible) comme solution de base de données principale pour l'application, en l'utilisant via Prisma pour l'accès aux données et migrations.</w:t>
      </w:r>
      <w:r>
        <w:rPr>
          <w:color w:val="000000" w:themeColor="text1"/>
          <w:highlight w:val="none"/>
        </w:rPr>
      </w:r>
    </w:p>
    <w:p w14:paraId="56255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Principales mesures d'implémentation :</w:t>
      </w:r>
      <w:r>
        <w:rPr>
          <w:color w:val="000000" w:themeColor="text1"/>
          <w:highlight w:val="none"/>
        </w:rPr>
      </w:r>
    </w:p>
    <w:p w14:paraId="6DC18A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Conserver </w:t>
      </w:r>
      <w:r>
        <w:rPr>
          <w:rFonts w:ascii="Liberation Sans" w:hAnsi="Liberation Sans" w:eastAsia="Liberation Sans" w:cs="Liberation Sans"/>
          <w:color w:val="000000" w:themeColor="text1"/>
          <w:sz w:val="16"/>
          <w:highlight w:val="none"/>
        </w:rPr>
        <w:t xml:space="preserve">DATABASE_URL</w:t>
      </w: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 avec les paramètres SSL requis (déjà présent dans </w:t>
      </w:r>
      <w:hyperlink r:id="rId10" w:tooltip="vscode-file://vscode-app/usr/share/code/resources/app/out/vs/code/electron-browser/workbench/workbench.html" w:history="1">
        <w:r>
          <w:rPr>
            <w:rStyle w:val="187"/>
            <w:rFonts w:ascii="Liberation Sans" w:hAnsi="Liberation Sans" w:eastAsia="Liberation Sans" w:cs="Liberation Sans"/>
            <w:color w:val="000000" w:themeColor="text1"/>
            <w:sz w:val="18"/>
            <w:highlight w:val="none"/>
            <w:u w:val="none"/>
          </w:rPr>
          <w:t xml:space="preserve">.env</w:t>
        </w:r>
        <w:r>
          <w:rPr>
            <w:rStyle w:val="187"/>
            <w:rFonts w:ascii="Liberation Sans" w:hAnsi="Liberation Sans" w:eastAsia="Liberation Sans" w:cs="Liberation Sans"/>
            <w:color w:val="000000" w:themeColor="text1"/>
            <w:sz w:val="18"/>
            <w:highlight w:val="none"/>
          </w:rPr>
          <w:t xml:space="preserve">:1</w:t>
        </w:r>
      </w:hyperlink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).</w:t>
      </w:r>
      <w:r>
        <w:rPr>
          <w:color w:val="000000" w:themeColor="text1"/>
          <w:highlight w:val="none"/>
        </w:rPr>
      </w:r>
    </w:p>
    <w:p w14:paraId="6085FE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Utiliser Prisma comme couche d'accès (modèles, migrations, transactions).</w:t>
      </w:r>
      <w:r>
        <w:rPr>
          <w:color w:val="000000" w:themeColor="text1"/>
          <w:highlight w:val="none"/>
        </w:rPr>
      </w:r>
    </w:p>
    <w:p w14:paraId="3BFF17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Configurer les pools de connexions côté serveur (adapter le pool pour environnements serverless si nécessaire).</w:t>
      </w:r>
      <w:r>
        <w:rPr>
          <w:color w:val="000000" w:themeColor="text1"/>
          <w:highlight w:val="none"/>
        </w:rPr>
      </w:r>
    </w:p>
    <w:p w14:paraId="5D58E6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Activer et tester les migrations via Prisma Migrate et conserver les scripts/migrations dans </w:t>
      </w:r>
      <w:hyperlink r:id="rId11" w:tooltip="vscode-file://vscode-app/usr/share/code/resources/app/out/vs/code/electron-browser/workbench/workbench.html" w:history="1">
        <w:r>
          <w:rPr>
            <w:rStyle w:val="187"/>
            <w:rFonts w:ascii="Liberation Sans" w:hAnsi="Liberation Sans" w:eastAsia="Liberation Sans" w:cs="Liberation Sans"/>
            <w:color w:val="000000" w:themeColor="text1"/>
            <w:sz w:val="18"/>
            <w:highlight w:val="none"/>
            <w:u w:val="none"/>
          </w:rPr>
          <w:t xml:space="preserve">prisma</w:t>
        </w:r>
      </w:hyperlink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226F58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Mettre en place sauvegardes régulières et récupération (selon l'offre Neon choisie).</w:t>
      </w:r>
      <w:r>
        <w:rPr>
          <w:color w:val="000000" w:themeColor="text1"/>
          <w:highlight w:val="none"/>
        </w:rPr>
      </w:r>
    </w:p>
    <w:p w14:paraId="4912DF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Configurer la rotation et stockage sécurisé des secrets (ne pas committer </w:t>
      </w:r>
      <w:r>
        <w:rPr>
          <w:rFonts w:ascii="Liberation Sans" w:hAnsi="Liberation Sans" w:eastAsia="Liberation Sans" w:cs="Liberation Sans"/>
          <w:color w:val="000000" w:themeColor="text1"/>
          <w:sz w:val="16"/>
          <w:highlight w:val="none"/>
        </w:rPr>
        <w:t xml:space="preserve">DATABASE_URL</w:t>
      </w: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).</w:t>
      </w:r>
      <w:r>
        <w:rPr>
          <w:color w:val="000000" w:themeColor="text1"/>
          <w:highlight w:val="none"/>
        </w:rPr>
      </w:r>
    </w:p>
    <w:p w14:paraId="6AB3770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  <w:highlight w:val="none"/>
        </w:rPr>
        <w:t xml:space="preserve">Conséquences</w:t>
      </w:r>
      <w:r>
        <w:rPr>
          <w:color w:val="000000" w:themeColor="text1"/>
          <w:highlight w:val="none"/>
        </w:rPr>
      </w:r>
    </w:p>
    <w:p w14:paraId="3DA12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Avantages :</w:t>
      </w:r>
      <w:r>
        <w:rPr>
          <w:color w:val="000000" w:themeColor="text1"/>
          <w:highlight w:val="none"/>
        </w:rPr>
      </w:r>
    </w:p>
    <w:p w14:paraId="180E63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Compatibilité directe avec Prisma et l'écosystème PostgreSQL.</w:t>
      </w:r>
      <w:r>
        <w:rPr>
          <w:color w:val="000000" w:themeColor="text1"/>
          <w:highlight w:val="none"/>
        </w:rPr>
      </w:r>
    </w:p>
    <w:p w14:paraId="183802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Neon offre scalabilité et fonctionnalités managées (snapshots, sécurité).</w:t>
      </w:r>
      <w:r>
        <w:rPr>
          <w:color w:val="000000" w:themeColor="text1"/>
          <w:highlight w:val="none"/>
        </w:rPr>
      </w:r>
    </w:p>
    <w:p w14:paraId="4D2B53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Connexions sécurisées (SSL) facilitées et déjà paramétrées dans </w:t>
      </w:r>
      <w:r>
        <w:rPr>
          <w:rFonts w:ascii="Liberation Sans" w:hAnsi="Liberation Sans" w:eastAsia="Liberation Sans" w:cs="Liberation Sans"/>
          <w:color w:val="000000" w:themeColor="text1"/>
          <w:sz w:val="16"/>
          <w:highlight w:val="none"/>
        </w:rPr>
        <w:t xml:space="preserve">DATABASE_URL</w:t>
      </w: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086323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Opérations de back-up/restore et facilité d'administration via Neon UI/API.</w:t>
      </w:r>
      <w:r>
        <w:rPr>
          <w:color w:val="000000" w:themeColor="text1"/>
          <w:highlight w:val="none"/>
        </w:rPr>
      </w:r>
    </w:p>
    <w:p w14:paraId="2562B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Inconvénients / Risques :</w:t>
      </w:r>
      <w:r>
        <w:rPr>
          <w:color w:val="000000" w:themeColor="text1"/>
          <w:highlight w:val="none"/>
        </w:rPr>
      </w:r>
    </w:p>
    <w:p w14:paraId="3AE9D5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Dépendance à un fournisseur managé (verrouillage potentiel, coût).</w:t>
      </w:r>
      <w:r>
        <w:rPr>
          <w:color w:val="000000" w:themeColor="text1"/>
          <w:highlight w:val="none"/>
        </w:rPr>
      </w:r>
    </w:p>
    <w:p w14:paraId="1303AE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Latence réseau potentielle si l'infrastructure du service n'est pas proche géographiquement.</w:t>
      </w:r>
      <w:r>
        <w:rPr>
          <w:color w:val="000000" w:themeColor="text1"/>
          <w:highlight w:val="none"/>
        </w:rPr>
      </w:r>
    </w:p>
    <w:p w14:paraId="3D963F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Gestion des connexions simultanées — nécessité d'ajuster le pool (ou d'utiliser un proxy/pgbouncer si la charge l'exige).</w:t>
      </w:r>
      <w:r>
        <w:rPr>
          <w:color w:val="000000" w:themeColor="text1"/>
          <w:highlight w:val="none"/>
        </w:rPr>
      </w:r>
    </w:p>
    <w:p w14:paraId="12F6C5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Besoin d'un plan de reprise et de tests de restauration pour les SLA critiques.</w:t>
      </w:r>
      <w:r>
        <w:rPr>
          <w:color w:val="000000" w:themeColor="text1"/>
          <w:highlight w:val="none"/>
        </w:rPr>
      </w:r>
    </w:p>
    <w:p w14:paraId="71895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Opérationnel :</w:t>
      </w:r>
      <w:r>
        <w:rPr>
          <w:color w:val="000000" w:themeColor="text1"/>
          <w:highlight w:val="none"/>
        </w:rPr>
      </w:r>
    </w:p>
    <w:p w14:paraId="4564A8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Ajouter monitoring (connexions, latence, erreurs), alerting et runbooks pour restaurations.</w:t>
      </w:r>
      <w:r>
        <w:rPr>
          <w:color w:val="000000" w:themeColor="text1"/>
          <w:highlight w:val="none"/>
        </w:rPr>
      </w:r>
    </w:p>
    <w:p w14:paraId="0B82EC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Vérifier limites de la base Neon (connexions, IO) et adapter configuration Prisma/serveur.</w:t>
      </w:r>
      <w:r>
        <w:rPr>
          <w:color w:val="000000" w:themeColor="text1"/>
          <w:highlight w:val="none"/>
        </w:rPr>
      </w:r>
    </w:p>
    <w:p w14:paraId="2EB4EC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Ne pas stocker de secrets en clair dans le repo ; utiliser un vault/CI secrets.</w:t>
      </w:r>
      <w:r>
        <w:rPr>
          <w:color w:val="000000" w:themeColor="text1"/>
          <w:highlight w:val="none"/>
        </w:rPr>
      </w:r>
    </w:p>
    <w:p w14:paraId="1031CA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  <w:highlight w:val="none"/>
        </w:rPr>
        <w:t xml:space="preserve">Alternatives considérées</w:t>
      </w:r>
      <w:r>
        <w:rPr>
          <w:color w:val="000000" w:themeColor="text1"/>
          <w:highlight w:val="none"/>
        </w:rPr>
      </w:r>
    </w:p>
    <w:p w14:paraId="0ADBEC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Héberger PostgreSQL soi‑même sur des VM/containers :</w:t>
      </w:r>
      <w:r>
        <w:rPr>
          <w:color w:val="000000" w:themeColor="text1"/>
          <w:highlight w:val="none"/>
        </w:rPr>
      </w:r>
    </w:p>
    <w:p w14:paraId="24E9867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Contrôle total mais coût d'exploitation et complexité opérationnelle supérieurs.</w:t>
      </w:r>
      <w:r>
        <w:rPr>
          <w:color w:val="000000" w:themeColor="text1"/>
          <w:highlight w:val="none"/>
        </w:rPr>
      </w:r>
    </w:p>
    <w:p w14:paraId="42A372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Utiliser d'autres fournisseurs managés (AWS RDS, Supabase) :</w:t>
      </w:r>
      <w:r>
        <w:rPr>
          <w:color w:val="000000" w:themeColor="text1"/>
          <w:highlight w:val="none"/>
        </w:rPr>
      </w:r>
    </w:p>
    <w:p w14:paraId="237772F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Équivalents fonctionnels ; choix basé sur coût, latence, intégrations et préférences d'opération.</w:t>
      </w:r>
      <w:r>
        <w:rPr>
          <w:color w:val="000000" w:themeColor="text1"/>
          <w:highlight w:val="none"/>
        </w:rPr>
      </w:r>
    </w:p>
    <w:p w14:paraId="05CE69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Stockage NoSQL (ex. Redis/Firestore) :</w:t>
      </w:r>
      <w:r>
        <w:rPr>
          <w:color w:val="000000" w:themeColor="text1"/>
          <w:highlight w:val="none"/>
        </w:rPr>
      </w:r>
    </w:p>
    <w:p w14:paraId="6CD75C6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0"/>
          <w:highlight w:val="none"/>
        </w:rPr>
        <w:t xml:space="preserve">Rejeté pour modèles relationnels et exigences de requêtes structurées (messages, relations user/room).</w:t>
      </w:r>
      <w:r>
        <w:rPr>
          <w:color w:val="000000" w:themeColor="text1"/>
          <w:highlight w:val="none"/>
        </w:rPr>
      </w:r>
    </w:p>
    <w:p>
      <w:pPr>
        <w:pBdr/>
        <w:shd w:val="clear" w:color="auto" w:fill="auto"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E6F2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AA7B4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83A2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9F55D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vscode-file://vscode-app/usr/share/code/resources/app/out/vs/code/electron-browser/workbench/workbench.html" TargetMode="External"/><Relationship Id="rId10" Type="http://schemas.openxmlformats.org/officeDocument/2006/relationships/hyperlink" Target="vscode-file://vscode-app/usr/share/code/resources/app/out/vs/code/electron-browser/workbench/workbench.html" TargetMode="External"/><Relationship Id="rId11" Type="http://schemas.openxmlformats.org/officeDocument/2006/relationships/hyperlink" Target="vscode-file://vscode-app/usr/share/code/resources/app/out/vs/code/electron-browser/workbench/workbench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2026-04-27T07:32:55Z</dcterms:modified>
</cp:coreProperties>
</file>