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To limit the number of records returned, use a LIMIT. To limit the results to just 2 records: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section-iv--where"/>
      <w:bookmarkEnd w:id="27"/>
      <w:r>
        <w:t xml:space="preserve">Section IV- WHERE</w:t>
      </w:r>
    </w:p>
    <w:p>
      <w:pPr>
        <w:pStyle w:val="Heading3"/>
      </w:pPr>
      <w:bookmarkStart w:id="28" w:name="getting-year-2010-records"/>
      <w:bookmarkEnd w:id="28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29" w:name="getting-non-2010-records"/>
      <w:bookmarkEnd w:id="29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records-between-2005-and-2010"/>
      <w:bookmarkEnd w:id="30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1" w:name="using-and"/>
      <w:bookmarkEnd w:id="31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exclusive-range"/>
      <w:bookmarkEnd w:id="32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using-or"/>
      <w:bookmarkEnd w:id="33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4" w:name="using-in"/>
      <w:bookmarkEnd w:id="34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5" w:name="using-not-in"/>
      <w:bookmarkEnd w:id="35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modulus"/>
      <w:bookmarkEnd w:id="36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7" w:name="using-where-on-text"/>
      <w:bookmarkEnd w:id="37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8" w:name="using-in-with-text"/>
      <w:bookmarkEnd w:id="38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using-length-function"/>
      <w:bookmarkEnd w:id="39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0" w:name="using-like-for-any-characters"/>
      <w:bookmarkEnd w:id="40"/>
      <w:r>
        <w:t xml:space="preserve">4.13: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1" w:name="using-like-for-one-character"/>
      <w:bookmarkEnd w:id="41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2" w:name="true-booleans-1"/>
      <w:bookmarkEnd w:id="42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3" w:name="true-booleans-2"/>
      <w:bookmarkEnd w:id="43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4" w:name="false-booleans-1"/>
      <w:bookmarkEnd w:id="44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false-booleans-2"/>
      <w:bookmarkEnd w:id="45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6" w:name="handling-null"/>
      <w:bookmarkEnd w:id="46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handling-null-in-conditions"/>
      <w:bookmarkEnd w:id="47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48" w:name="combining-and-and-or"/>
      <w:bookmarkEnd w:id="48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49" w:name="section-v--group-by-and-order-by"/>
      <w:bookmarkEnd w:id="49"/>
      <w:r>
        <w:t xml:space="preserve">Section V- GROUP BY and ORDER BY</w:t>
      </w:r>
    </w:p>
    <w:p>
      <w:pPr>
        <w:pStyle w:val="Heading3"/>
      </w:pPr>
      <w:bookmarkStart w:id="50" w:name="getting-a-count-of-records"/>
      <w:bookmarkEnd w:id="50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1" w:name="getting-a-count-of-records-with-a-condition"/>
      <w:bookmarkEnd w:id="51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2" w:name="getting-a-count-by-year"/>
      <w:bookmarkEnd w:id="52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3" w:name="getting-a-count-by-year-month"/>
      <w:bookmarkEnd w:id="53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4" w:name="getting-a-count-by-year-month-with-ordinal-index"/>
      <w:bookmarkEnd w:id="54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5" w:name="using-order-by"/>
      <w:bookmarkEnd w:id="55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using-order-by-with-desc"/>
      <w:bookmarkEnd w:id="56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7" w:name="counting-non-null-values"/>
      <w:bookmarkEnd w:id="57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8" w:name="average-temperature-by-month-since-year-2000"/>
      <w:bookmarkEnd w:id="58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average-temperature-with-rounding-by-month-since-year-2000"/>
      <w:bookmarkEnd w:id="59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0" w:name="sum-of-snow-depth"/>
      <w:bookmarkEnd w:id="60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1" w:name="multiple-aggregations"/>
      <w:bookmarkEnd w:id="61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2" w:name="exercises"/>
      <w:bookmarkEnd w:id="62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3" w:name="using-having"/>
      <w:bookmarkEnd w:id="63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4" w:name="getting-distinct-values"/>
      <w:bookmarkEnd w:id="64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5" w:name="section-vi---case-statements"/>
      <w:bookmarkEnd w:id="65"/>
      <w:r>
        <w:t xml:space="preserve">Section VI - CASE Statements</w:t>
      </w:r>
    </w:p>
    <w:p>
      <w:pPr>
        <w:pStyle w:val="Heading3"/>
      </w:pPr>
      <w:bookmarkStart w:id="66" w:name="categorizing-wind-speed"/>
      <w:bookmarkEnd w:id="66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7" w:name="more-efficient-way-to-categorize-wind-speed"/>
      <w:bookmarkEnd w:id="67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8" w:name="using-case-with-group-by"/>
      <w:bookmarkEnd w:id="68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3"/>
      </w:pPr>
      <w:bookmarkStart w:id="69" w:name="zeronull-case-trick"/>
      <w:bookmarkEnd w:id="69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70" w:name="using-null-in-a-case-to-conditionalize-minmax"/>
      <w:bookmarkEnd w:id="70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1" w:name="exercise-6.1"/>
      <w:bookmarkEnd w:id="71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2" w:name="exercise-6.2"/>
      <w:bookmarkEnd w:id="72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3" w:name="section-vii---join"/>
      <w:bookmarkEnd w:id="73"/>
      <w:r>
        <w:t xml:space="preserve">Section VII - JOIN</w:t>
      </w:r>
    </w:p>
    <w:p>
      <w:pPr>
        <w:pStyle w:val="Heading3"/>
      </w:pPr>
      <w:bookmarkStart w:id="74" w:name="inner-join"/>
      <w:bookmarkEnd w:id="74"/>
      <w:r>
        <w:t xml:space="preserve">7.1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5" w:name="left-outer-join"/>
      <w:bookmarkEnd w:id="75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6" w:name="finding-customers-with-no-orders"/>
      <w:bookmarkEnd w:id="76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77" w:name="joining-multiple-tables"/>
      <w:bookmarkEnd w:id="77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8" w:name="using-expressions-with-joins"/>
      <w:bookmarkEnd w:id="78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9" w:name="using-group-by-with-joins"/>
      <w:bookmarkEnd w:id="79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0" w:name="section-viii---database-design"/>
      <w:bookmarkEnd w:id="80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BodyText"/>
      </w:pPr>
      <w:r>
        <w:t xml:space="preserve">To read about normalized forms (which we do not cover in favor of a more intuitive approach), you can read this article:</w:t>
      </w:r>
    </w:p>
    <w:p>
      <w:pPr>
        <w:pStyle w:val="BodyText"/>
      </w:pPr>
      <w:r>
        <w:t xml:space="preserve">http://www.dummies.com/programming/sql/sql-first-second-and-third-normal-forms/</w:t>
      </w:r>
    </w:p>
    <w:p>
      <w:pPr>
        <w:pStyle w:val="Heading2"/>
      </w:pPr>
      <w:bookmarkStart w:id="81" w:name="creating-a-table"/>
      <w:bookmarkEnd w:id="81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2" w:name="creating-the-other-tables"/>
      <w:bookmarkEnd w:id="82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3" w:name="creating-views"/>
      <w:bookmarkEnd w:id="83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4" w:name="section-ix---writing-data"/>
      <w:bookmarkEnd w:id="84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5" w:name="using-insert"/>
      <w:bookmarkEnd w:id="85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6" w:name="multiple-insert-records"/>
      <w:bookmarkEnd w:id="86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87" w:name="testing-the-foreign-keys"/>
      <w:bookmarkEnd w:id="87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88" w:name="delete-records"/>
      <w:bookmarkEnd w:id="88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89" w:name="update-records"/>
      <w:bookmarkEnd w:id="89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0" w:name="dropping-tables"/>
      <w:bookmarkEnd w:id="90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1" w:name="transactions"/>
      <w:bookmarkEnd w:id="91"/>
      <w:r>
        <w:t xml:space="preserve">9.5 Transactions</w:t>
      </w:r>
    </w:p>
    <w:p>
      <w:pPr>
        <w:pStyle w:val="FirstParagraph"/>
      </w:pPr>
      <w:r>
        <w:t xml:space="preserve">Transactions are helpful when you want a series of writes to succeed.</w:t>
      </w:r>
    </w:p>
    <w:p>
      <w:pPr>
        <w:pStyle w:val="BodyText"/>
      </w:pPr>
      <w:r>
        <w:t xml:space="preserve">Below, we execute two successful write operations within a transaction.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But if we ever encountered a failure with our write operations,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END TRANSACTION</w:t>
      </w:r>
      <w:r>
        <w:t xml:space="preserve"> </w:t>
      </w:r>
      <w:r>
        <w:t xml:space="preserve">to go back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Below, we have a failed operation due to a broken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--failure</w:t>
      </w:r>
    </w:p>
    <w:p>
      <w:pPr>
        <w:pStyle w:val="FirstParagraph"/>
      </w:pPr>
      <w:r>
        <w:t xml:space="preserve">So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to "rewind"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SourceCode"/>
      </w:pPr>
      <w:r>
        <w:rPr>
          <w:rStyle w:val="KeywordTok"/>
        </w:rPr>
        <w:t xml:space="preserve">ROLLBACK</w:t>
      </w:r>
      <w:r>
        <w:rPr>
          <w:rStyle w:val="NormalTok"/>
        </w:rPr>
        <w:t xml:space="preserve">;</w:t>
      </w:r>
    </w:p>
    <w:p>
      <w:pPr>
        <w:pStyle w:val="Heading3"/>
      </w:pPr>
      <w:bookmarkStart w:id="92" w:name="creating-indexes"/>
      <w:bookmarkEnd w:id="92"/>
      <w:r>
        <w:t xml:space="preserve">9.6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1"/>
      </w:pPr>
      <w:bookmarkStart w:id="93" w:name="section-x---moving-forward"/>
      <w:bookmarkEnd w:id="93"/>
      <w:r>
        <w:t xml:space="preserve">Section X - Moving Forward</w:t>
      </w:r>
    </w:p>
    <w:p>
      <w:pPr>
        <w:pStyle w:val="Heading3"/>
      </w:pPr>
      <w:bookmarkStart w:id="94" w:name="sql-resources"/>
      <w:bookmarkEnd w:id="94"/>
      <w:r>
        <w:t xml:space="preserve">SQL Resources</w:t>
      </w:r>
    </w:p>
    <w:p>
      <w:pPr>
        <w:pStyle w:val="FirstParagraph"/>
      </w:pPr>
      <w:hyperlink r:id="rId95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96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97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BodyText"/>
      </w:pPr>
      <w:hyperlink r:id="rId98">
        <w:r>
          <w:rPr>
            <w:rStyle w:val="Hyperlink"/>
          </w:rPr>
          <w:t xml:space="preserve">SQL Practice Problems</w:t>
        </w:r>
      </w:hyperlink>
      <w:r>
        <w:t xml:space="preserve"> </w:t>
      </w:r>
      <w:r>
        <w:t xml:space="preserve">by Sylvia Moestl Vasilik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a263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5" Target="http://shop.oreilly.com/product/0636920044994.do" TargetMode="External" /><Relationship Type="http://schemas.openxmlformats.org/officeDocument/2006/relationships/hyperlink" Id="rId96" Target="http://shop.oreilly.com/product/9780596520847.do" TargetMode="External" /><Relationship Type="http://schemas.openxmlformats.org/officeDocument/2006/relationships/hyperlink" Id="rId97" Target="http://shop.oreilly.com/product/9780596521196.do" TargetMode="External" /><Relationship Type="http://schemas.openxmlformats.org/officeDocument/2006/relationships/hyperlink" Id="rId98" Target="https://www.amazon.com/SQL-Practice-Problems-learn-doing/dp/152080763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shop.oreilly.com/product/0636920044994.do" TargetMode="External" /><Relationship Type="http://schemas.openxmlformats.org/officeDocument/2006/relationships/hyperlink" Id="rId96" Target="http://shop.oreilly.com/product/9780596520847.do" TargetMode="External" /><Relationship Type="http://schemas.openxmlformats.org/officeDocument/2006/relationships/hyperlink" Id="rId97" Target="http://shop.oreilly.com/product/9780596521196.do" TargetMode="External" /><Relationship Type="http://schemas.openxmlformats.org/officeDocument/2006/relationships/hyperlink" Id="rId98" Target="https://www.amazon.com/SQL-Practice-Problems-learn-doing/dp/15208076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2017-10-16T16:38:55Z</dcterms:created>
  <dcterms:modified xsi:type="dcterms:W3CDTF">2017-10-16T16:38:55Z</dcterms:modified>
</cp:coreProperties>
</file>