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:Wayne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color w:val="dcdcdc"/>
          <w:sz w:val="21"/>
          <w:szCs w:val="21"/>
          <w:rtl w:val="0"/>
        </w:rPr>
        <w:t xml:space="preserve">:柯師為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color w:val="dcdcdc"/>
          <w:sz w:val="21"/>
          <w:szCs w:val="21"/>
          <w:rtl w:val="0"/>
        </w:rPr>
        <w:t xml:space="preserve">:吳佶倞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:Ryan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:WNM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"tensorflow"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"faceswap"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"annotated_deep_learning_paper_implementations"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"GFPGAN"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"MockingBird"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"pytorch-tutorial"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"fastai"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"mediapipe"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"ultralytics"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"stable-diffusion-webui"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"Real-Time-Voice-Cloning"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"yolov5"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"Made-With-ML"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"caffe"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"TTS"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"stanford_alpaca"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"applied-ml"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"awesome-deep-learning-papers"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"ML-From-Scratch"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"transformers"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"d2l-zh"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"DeepFaceLab"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"Deep-Learning-Papers-Reading-Roadmap"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"tesseract.js"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"openpose"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"spaCy"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"netron"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"handson-ml"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"awesome-datascience"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"pytorch"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"keras"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"Prompt-Engineering-Guide"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"ColossalAI"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"DeepSpeed"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"AI-Expert-Roadmap"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"data-science-ipython-notebooks"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"spleeter"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"so-vits-svc"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"opencv"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"cs-video-courses"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"100-Days-Of-ML-Code"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"TensorFlow-Examples"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"streamlit"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"AI-For-Beginners"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"machine-learning-for-software-engineers"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"pytorch-lightning"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"DeepSpeech"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"paper-reading"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