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1F44"/>
          <w:sz w:val="40"/>
          <w:szCs w:val="40"/>
        </w:rPr>
        <w:t xml:space="preserve">Documento funcional · Cuadro de seguimiento del proceso</w:t>
      </w:r>
    </w:p>
    <w:p>
      <w:pPr>
        <w:spacing w:after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Ayudas por gestación, nacimiento o adopción</w:t>
      </w:r>
    </w:p>
    <w:p>
      <w:pPr>
        <w:pBdr>
          <w:bottom w:val="single" w:color="0A1F44" w:sz="8" w:space="6"/>
        </w:pBdr>
        <w:spacing w:after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Servicio de minería de procesos · Consejería de Familia, Juventud y Asuntos Sociales · 30/10/2026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Unidad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Subdirección General de Familia y Fomento de la Natalidad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Mockup de referencia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Versión 25 (MockupNatalidad_v25.html)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1.0 · borrador para validar con la unidad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Recoge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Los documentos de indicadores del 05/10 y las peticiones de la sesión del 27/10</w:t>
            </w:r>
          </w:p>
        </w:tc>
      </w:tr>
    </w:tbl>
    <w:p>
      <w:pPr>
        <w:spacing w:after="120" w:before="0" w:line="276"/>
      </w:pPr>
    </w:p>
    <w:p>
      <w:pPr>
        <w:pBdr>
          <w:left w:val="single" w:color="E3A008" w:sz="18" w:space="8"/>
        </w:pBdr>
        <w:shd w:fill="FFF8E1" w:color="auto" w:val="clear"/>
        <w:spacing w:after="200" w:before="0" w:line="276"/>
        <w:ind w:left="140" w:right="140"/>
      </w:pPr>
      <w:r>
        <w:rPr>
          <w:rFonts w:ascii="Arial" w:cs="Arial" w:eastAsia="Arial" w:hAnsi="Arial"/>
          <w:b/>
          <w:bCs/>
          <w:color w:val="0A1F44"/>
        </w:rPr>
        <w:t xml:space="preserve">Importante:</w:t>
      </w:r>
      <w:r>
        <w:rPr>
          <w:rFonts w:ascii="Arial" w:cs="Arial" w:eastAsia="Arial" w:hAnsi="Arial"/>
          <w:color w:val="0A1F44"/>
        </w:rPr>
        <w:t xml:space="preserve"> las cifras de las capturas son del mockup y son ficticias. Con los datos reales cambiarán, pero se leen igual.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El cuadro de seguimiento es la herramienta de supervisión de la unidad gestora. Responde a cuatro preguntas con los datos de los sistemas, sin hojas de cálculo aparte: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Cuánto entra</w:t>
      </w:r>
      <w:r>
        <w:rPr>
          <w:rFonts w:ascii="Arial" w:cs="Arial" w:eastAsia="Arial" w:hAnsi="Arial"/>
          <w:color w:val="0A1F44"/>
        </w:rPr>
        <w:t xml:space="preserve"> por registro y cuánto llega a expediente.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Dónde está cada expediente</w:t>
      </w:r>
      <w:r>
        <w:rPr>
          <w:rFonts w:ascii="Arial" w:cs="Arial" w:eastAsia="Arial" w:hAnsi="Arial"/>
          <w:color w:val="0A1F44"/>
        </w:rPr>
        <w:t xml:space="preserve"> y dónde se atasca.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Cuánto se tarda</w:t>
      </w:r>
      <w:r>
        <w:rPr>
          <w:rFonts w:ascii="Arial" w:cs="Arial" w:eastAsia="Arial" w:hAnsi="Arial"/>
          <w:color w:val="0A1F44"/>
        </w:rPr>
        <w:t xml:space="preserve">, en total y en cada fase, y quién tiene la espera.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Cuánto se paga</w:t>
      </w:r>
      <w:r>
        <w:rPr>
          <w:rFonts w:ascii="Arial" w:cs="Arial" w:eastAsia="Arial" w:hAnsi="Arial"/>
          <w:color w:val="0A1F44"/>
        </w:rPr>
        <w:t xml:space="preserve"> y cuánto crédito queda para nuevas altas.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Lo usan la jefatura del servicio, la coordinación de la tramitación y gestión económica. No sustituye a Atlantix: muestra lo que pasa y lleva hasta el expediente, pero no permite tramitar.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Alcance y fases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El proyecto se divide en dos fases. La </w:t>
      </w:r>
      <w:r>
        <w:rPr>
          <w:rFonts w:ascii="Arial" w:cs="Arial" w:eastAsia="Arial" w:hAnsi="Arial"/>
          <w:b/>
          <w:bCs/>
          <w:color w:val="0A1F44"/>
        </w:rPr>
        <w:t xml:space="preserve">fase 1</w:t>
      </w:r>
      <w:r>
        <w:rPr>
          <w:rFonts w:ascii="Arial" w:cs="Arial" w:eastAsia="Arial" w:hAnsi="Arial"/>
          <w:color w:val="0A1F44"/>
        </w:rPr>
        <w:t xml:space="preserve"> es lo que se construye ahora. La </w:t>
      </w:r>
      <w:r>
        <w:rPr>
          <w:rFonts w:ascii="Arial" w:cs="Arial" w:eastAsia="Arial" w:hAnsi="Arial"/>
          <w:b/>
          <w:bCs/>
          <w:color w:val="0A1F44"/>
        </w:rPr>
        <w:t xml:space="preserve">fase 2</w:t>
      </w:r>
      <w:r>
        <w:rPr>
          <w:rFonts w:ascii="Arial" w:cs="Arial" w:eastAsia="Arial" w:hAnsi="Arial"/>
          <w:color w:val="0A1F44"/>
        </w:rPr>
        <w:t xml:space="preserve"> recoge dos partes que ya se ven en el mockup, pero que no sabemos si se podrán desarrollar: dependen de datos que aún no tenemos o de lo que permita Celonis.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100"/>
        <w:gridCol w:w="5238"/>
      </w:tblGrid>
      <w:tr>
        <w:trPr>
          <w:cantSplit/>
          <w:tblHeader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 de la pantalla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Filtros de la pantalla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Periodo, tramos, año, tipo de solicitud, canal y plazo.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Cabecera de indicadores (19, en cinco bloques)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Volumen, tramitación, tiempos, reprocesos y gestión económica.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Tiempo y expedientes por fase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Vista del proceso entero, por fase y por responsable de la espera.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Entradas, salidas y stock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Ritmo del proceso por tramo y por fase.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Stock pendiente por fase y antigüedad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Foto de lo abierto a la fecha de corte.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Composición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Reparto por tipo, canal, perfil, sentido de la resolución y respuesta de la Intervención.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Gestión económica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Crédito por línea y anualidad, y margen a corto plazo.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Expedientes sin actividad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Lista de trabajo exportable.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Explorador de procesos y hoja de validación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3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05B60"/>
                <w:sz w:val="18"/>
                <w:szCs w:val="18"/>
              </w:rPr>
              <w:t xml:space="preserve">Fase 1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Árbol del recorrido y validación de indicadores.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A1F44"/>
                <w:sz w:val="18"/>
                <w:szCs w:val="18"/>
              </w:rPr>
              <w:t xml:space="preserve">Detalle de cada etapa</w:t>
            </w: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 («Ver detalle»)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FF4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9A5B00"/>
                <w:sz w:val="18"/>
                <w:szCs w:val="18"/>
              </w:rPr>
              <w:t xml:space="preserve">Fase 2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Atlantix no tiene subfases: hacen falta las etapas y actividades reales y comprobar qué guarda la bitácora.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A1F44"/>
                <w:sz w:val="18"/>
                <w:szCs w:val="18"/>
              </w:rPr>
              <w:t xml:space="preserve">Comparativa de periodos</w:t>
            </w:r>
          </w:p>
        </w:tc>
        <w:tc>
          <w:tcPr>
            <w:tcW w:type="dxa" w:w="1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FF4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9A5B00"/>
                <w:sz w:val="18"/>
                <w:szCs w:val="18"/>
              </w:rPr>
              <w:t xml:space="preserve">Fase 2</w:t>
            </w:r>
          </w:p>
        </w:tc>
        <w:tc>
          <w:tcPr>
            <w:tcW w:type="dxa" w:w="52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Hay que confirmar que Celonis puede calcular la cabecera para dos periodos a la vez, como en el mockup. De momento, sin reprocesos ni gestión económica.</w:t>
            </w:r>
          </w:p>
        </w:tc>
      </w:tr>
    </w:tbl>
    <w:p>
      <w:pPr>
        <w:spacing w:after="120" w:before="0" w:line="276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0A1F44"/>
        </w:rPr>
        <w:t xml:space="preserve">Fuera del alcance</w:t>
      </w:r>
      <w:r>
        <w:rPr>
          <w:rFonts w:ascii="Arial" w:cs="Arial" w:eastAsia="Arial" w:hAnsi="Arial"/>
          <w:color w:val="0A1F44"/>
        </w:rPr>
        <w:t xml:space="preserve"> del cuadro: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El cuadro ejecutivo de dirección (Datamart y Qlik). Este cuadro usará sus mismos nombres de indicadores.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Los informes a medida, como las remesas por mes de solicitud. Desde el cuadro se puede filtrar y exportar.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Alertas, interacción con Atlantix, asistente y automatizar la propuesta mensual: posibles siguientes pasos.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Fuentes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638"/>
        <w:gridCol w:w="2100"/>
      </w:tblGrid>
      <w:tr>
        <w:trPr>
          <w:cantSplit/>
          <w:tblHeader/>
        </w:trPr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56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aporta</w:t>
            </w:r>
          </w:p>
        </w:tc>
        <w:tc>
          <w:tcPr>
            <w:tcW w:type="dxa" w:w="2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eReg</w:t>
            </w:r>
          </w:p>
        </w:tc>
        <w:tc>
          <w:tcPr>
            <w:tcW w:type="dxa" w:w="56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Entradas en registro: solicitudes y aportaciones, fecha de asiento y canal.</w:t>
            </w:r>
          </w:p>
        </w:tc>
        <w:tc>
          <w:tcPr>
            <w:tcW w:type="dxa" w:w="2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Pendiente de conectar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Atlantix (AEFN)</w:t>
            </w:r>
          </w:p>
        </w:tc>
        <w:tc>
          <w:tcPr>
            <w:tcW w:type="dxa" w:w="56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Expedientes, etapas y su bitácora, requerimientos, propuestas, resoluciones, respuestas de la Intervención y nómina.</w:t>
            </w:r>
          </w:p>
        </w:tc>
        <w:tc>
          <w:tcPr>
            <w:tcW w:type="dxa" w:w="2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Datos solicitados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Nexus</w:t>
            </w:r>
          </w:p>
        </w:tc>
        <w:tc>
          <w:tcPr>
            <w:tcW w:type="dxa" w:w="56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Terceros, documentos contables (A, D y OK) y pagos.</w:t>
            </w:r>
          </w:p>
        </w:tc>
        <w:tc>
          <w:tcPr>
            <w:tcW w:type="dxa" w:w="2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Datos solicitados</w:t>
            </w:r>
          </w:p>
        </w:tc>
      </w:tr>
    </w:tbl>
    <w:p>
      <w:pPr>
        <w:spacing w:after="120" w:before="0" w:line="276"/>
      </w:pP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Lo que se pide a cada sistema, campo a campo, está en el Excel «Datos necesarios para el cuadro de natalidad». La frecuencia de actualización está por acordar: en el mockup, diaria.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Criterios comunes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Periodo y fecha de corte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La cabecera sigue a las </w:t>
      </w:r>
      <w:r>
        <w:rPr>
          <w:rFonts w:ascii="Arial" w:cs="Arial" w:eastAsia="Arial" w:hAnsi="Arial"/>
          <w:b/>
          <w:bCs/>
          <w:color w:val="0A1F44"/>
        </w:rPr>
        <w:t xml:space="preserve">solicitudes registradas en el periodo</w:t>
      </w:r>
      <w:r>
        <w:rPr>
          <w:rFonts w:ascii="Arial" w:cs="Arial" w:eastAsia="Arial" w:hAnsi="Arial"/>
          <w:color w:val="0A1F44"/>
        </w:rPr>
        <w:t xml:space="preserve"> elegido y mira dónde están en la </w:t>
      </w:r>
      <w:r>
        <w:rPr>
          <w:rFonts w:ascii="Arial" w:cs="Arial" w:eastAsia="Arial" w:hAnsi="Arial"/>
          <w:b/>
          <w:bCs/>
          <w:color w:val="0A1F44"/>
        </w:rPr>
        <w:t xml:space="preserve">fecha de corte</w:t>
      </w:r>
      <w:r>
        <w:rPr>
          <w:rFonts w:ascii="Arial" w:cs="Arial" w:eastAsia="Arial" w:hAnsi="Arial"/>
          <w:color w:val="0A1F44"/>
        </w:rPr>
        <w:t xml:space="preserve"> (el último día del periodo, o hoy si llega hasta hoy).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Las gráficas de ritmo cuentan </w:t>
      </w:r>
      <w:r>
        <w:rPr>
          <w:rFonts w:ascii="Arial" w:cs="Arial" w:eastAsia="Arial" w:hAnsi="Arial"/>
          <w:b/>
          <w:bCs/>
          <w:color w:val="0A1F44"/>
        </w:rPr>
        <w:t xml:space="preserve">lo que pasó en cada tramo</w:t>
      </w:r>
      <w:r>
        <w:rPr>
          <w:rFonts w:ascii="Arial" w:cs="Arial" w:eastAsia="Arial" w:hAnsi="Arial"/>
          <w:color w:val="0A1F44"/>
        </w:rPr>
        <w:t xml:space="preserve">, sea de la solicitud que sea. Por eso un mes puede tener más altas que solicitudes recibidas.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El stock y la tabla de expedientes sin actividad son una </w:t>
      </w:r>
      <w:r>
        <w:rPr>
          <w:rFonts w:ascii="Arial" w:cs="Arial" w:eastAsia="Arial" w:hAnsi="Arial"/>
          <w:b/>
          <w:bCs/>
          <w:color w:val="0A1F44"/>
        </w:rPr>
        <w:t xml:space="preserve">foto</w:t>
      </w:r>
      <w:r>
        <w:rPr>
          <w:rFonts w:ascii="Arial" w:cs="Arial" w:eastAsia="Arial" w:hAnsi="Arial"/>
          <w:color w:val="0A1F44"/>
        </w:rPr>
        <w:t xml:space="preserve"> a la fecha de corte de todo lo abierto.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Fases del proceso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Las etapas de Atlantix se agrupan en cinco fases: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300"/>
        <w:gridCol w:w="3938"/>
      </w:tblGrid>
      <w:tr>
        <w:trPr>
          <w:cantSplit/>
          <w:tblHeader/>
        </w:trPr>
        <w:tc>
          <w:tcPr>
            <w:tcW w:type="dxa" w:w="24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Etapas de Atlantix</w:t>
            </w:r>
          </w:p>
        </w:tc>
        <w:tc>
          <w:tcPr>
            <w:tcW w:type="dxa" w:w="3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Entrada (registro → alta)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Bandeja de registros (no es una etapa)</w:t>
            </w:r>
          </w:p>
        </w:tc>
        <w:tc>
          <w:tcPr>
            <w:tcW w:type="dxa" w:w="3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Del asiento en eReg al alta del expediente.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Gestión del expediente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«Gestión Expediente» y «Requerimiento»</w:t>
            </w:r>
          </w:p>
        </w:tc>
        <w:tc>
          <w:tcPr>
            <w:tcW w:type="dxa" w:w="3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Revisión de requisitos, requerimientos, aportaciones, revisión de conformidad y decisión.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Validación de terceros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«Validación Tercero»</w:t>
            </w:r>
          </w:p>
        </w:tc>
        <w:tc>
          <w:tcPr>
            <w:tcW w:type="dxa" w:w="3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Fichero mensual a gestión económica, alta del tercero en Nexus y carga en Atlantix.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Intervención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«Pendiente de envío a la Intervención», «Intervención Concesión»</w:t>
            </w:r>
          </w:p>
        </w:tc>
        <w:tc>
          <w:tcPr>
            <w:tcW w:type="dxa" w:w="3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Fiscalización de las altas y sus respuestas.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Resolución y pago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«Respuesta favorable», «Resolución Favorable Concesión»</w:t>
            </w:r>
          </w:p>
        </w:tc>
        <w:tc>
          <w:tcPr>
            <w:tcW w:type="dxa" w:w="3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Firma de la resolución y primer pago en la nómina.</w:t>
            </w:r>
          </w:p>
        </w:tc>
      </w:tr>
    </w:tbl>
    <w:p>
      <w:pPr>
        <w:spacing w:after="120" w:before="0" w:line="276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Quién tiene la espera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Cada tramo de espera se asigna a quien tiene que mover el expediente: </w:t>
      </w:r>
      <w:r>
        <w:rPr>
          <w:rFonts w:ascii="Arial" w:cs="Arial" w:eastAsia="Arial" w:hAnsi="Arial"/>
          <w:b/>
          <w:bCs/>
          <w:color w:val="0A1F44"/>
        </w:rPr>
        <w:t xml:space="preserve">unidad gestora</w:t>
      </w:r>
      <w:r>
        <w:rPr>
          <w:rFonts w:ascii="Arial" w:cs="Arial" w:eastAsia="Arial" w:hAnsi="Arial"/>
          <w:color w:val="0A1F44"/>
        </w:rPr>
        <w:t xml:space="preserve">, </w:t>
      </w:r>
      <w:r>
        <w:rPr>
          <w:rFonts w:ascii="Arial" w:cs="Arial" w:eastAsia="Arial" w:hAnsi="Arial"/>
          <w:b/>
          <w:bCs/>
          <w:color w:val="0A1F44"/>
        </w:rPr>
        <w:t xml:space="preserve">solicitante</w:t>
      </w:r>
      <w:r>
        <w:rPr>
          <w:rFonts w:ascii="Arial" w:cs="Arial" w:eastAsia="Arial" w:hAnsi="Arial"/>
          <w:color w:val="0A1F44"/>
        </w:rPr>
        <w:t xml:space="preserve"> (plazo de un requerimiento), </w:t>
      </w:r>
      <w:r>
        <w:rPr>
          <w:rFonts w:ascii="Arial" w:cs="Arial" w:eastAsia="Arial" w:hAnsi="Arial"/>
          <w:b/>
          <w:bCs/>
          <w:color w:val="0A1F44"/>
        </w:rPr>
        <w:t xml:space="preserve">gestión económica</w:t>
      </w:r>
      <w:r>
        <w:rPr>
          <w:rFonts w:ascii="Arial" w:cs="Arial" w:eastAsia="Arial" w:hAnsi="Arial"/>
          <w:color w:val="0A1F44"/>
        </w:rPr>
        <w:t xml:space="preserve"> (tercero en Nexus), </w:t>
      </w:r>
      <w:r>
        <w:rPr>
          <w:rFonts w:ascii="Arial" w:cs="Arial" w:eastAsia="Arial" w:hAnsi="Arial"/>
          <w:b/>
          <w:bCs/>
          <w:color w:val="0A1F44"/>
        </w:rPr>
        <w:t xml:space="preserve">Intervención</w:t>
      </w:r>
      <w:r>
        <w:rPr>
          <w:rFonts w:ascii="Arial" w:cs="Arial" w:eastAsia="Arial" w:hAnsi="Arial"/>
          <w:color w:val="0A1F44"/>
        </w:rPr>
        <w:t xml:space="preserve"> o </w:t>
      </w:r>
      <w:r>
        <w:rPr>
          <w:rFonts w:ascii="Arial" w:cs="Arial" w:eastAsia="Arial" w:hAnsi="Arial"/>
          <w:b/>
          <w:bCs/>
          <w:color w:val="0A1F44"/>
        </w:rPr>
        <w:t xml:space="preserve">calendario mensual</w:t>
      </w:r>
      <w:r>
        <w:rPr>
          <w:rFonts w:ascii="Arial" w:cs="Arial" w:eastAsia="Arial" w:hAnsi="Arial"/>
          <w:color w:val="0A1F44"/>
        </w:rPr>
        <w:t xml:space="preserve"> (propuesta, fichero de terceros o nómina).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Otros criterios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Revisados de conformidad sin proponer:</w:t>
      </w:r>
      <w:r>
        <w:rPr>
          <w:rFonts w:ascii="Arial" w:cs="Arial" w:eastAsia="Arial" w:hAnsi="Arial"/>
          <w:color w:val="0A1F44"/>
        </w:rPr>
        <w:t xml:space="preserve"> expedientes de «Gestión Expediente» ya revisados que esperan entrar en una propuesta. Para contarlos con datos reales, Atlantix tiene que registrar esa revisión con su fecha (decisión pendiente).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Importe:</w:t>
      </w:r>
      <w:r>
        <w:rPr>
          <w:rFonts w:ascii="Arial" w:cs="Arial" w:eastAsia="Arial" w:hAnsi="Arial"/>
          <w:color w:val="0A1F44"/>
        </w:rPr>
        <w:t xml:space="preserve"> 500 € al mes por hijo, desde el mes de la solicitud hasta que el menor cumple dos años. El primer pago lleva los atrasos.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Plazo:</w:t>
      </w:r>
      <w:r>
        <w:rPr>
          <w:rFonts w:ascii="Arial" w:cs="Arial" w:eastAsia="Arial" w:hAnsi="Arial"/>
          <w:color w:val="0A1F44"/>
        </w:rPr>
        <w:t xml:space="preserve"> parámetro de 90 días de inicio. No filtra: cambia el umbral del incumplimiento de plazo.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Calidad del dato:</w:t>
      </w:r>
      <w:r>
        <w:rPr>
          <w:rFonts w:ascii="Arial" w:cs="Arial" w:eastAsia="Arial" w:hAnsi="Arial"/>
          <w:color w:val="0A1F44"/>
        </w:rPr>
        <w:t xml:space="preserve"> «No informado» y «Sin clasificar» se muestran aparte, en gris.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La pantalla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5.1 Estructura</w:t>
      </w:r>
    </w:p>
    <w:p>
      <w:pPr>
        <w:keepNext/>
        <w:spacing w:after="60"/>
      </w:pPr>
      <w:r>
        <w:drawing>
          <wp:inline distT="0" distB="0" distL="0" distR="0">
            <wp:extent cx="6124575" cy="695325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Cabecera de la pantalla: organismo, título, fecha de actualización, pestañas y filtros.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La pantalla tiene tres pestañas en la fase 1: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Seguimiento del proceso:</w:t>
      </w:r>
      <w:r>
        <w:rPr>
          <w:rFonts w:ascii="Arial" w:cs="Arial" w:eastAsia="Arial" w:hAnsi="Arial"/>
          <w:color w:val="0A1F44"/>
        </w:rPr>
        <w:t xml:space="preserve"> la cabecera de indicadores, las gráficas, la gestión económica y la tabla de expedientes sin actividad.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Explorador de procesos:</w:t>
      </w:r>
      <w:r>
        <w:rPr>
          <w:rFonts w:ascii="Arial" w:cs="Arial" w:eastAsia="Arial" w:hAnsi="Arial"/>
          <w:color w:val="0A1F44"/>
        </w:rPr>
        <w:t xml:space="preserve"> el recorrido de las solicitudes en forma de árbol.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Indicadores del documento del 05/10:</w:t>
      </w:r>
      <w:r>
        <w:rPr>
          <w:rFonts w:ascii="Arial" w:cs="Arial" w:eastAsia="Arial" w:hAnsi="Arial"/>
          <w:color w:val="0A1F44"/>
        </w:rPr>
        <w:t xml:space="preserve"> la hoja de validación.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La pestaña «Comparativa de periodos» es de la fase 2 (apartado 6).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5.2 Filtros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Están arriba y afectan a toda la pantalla. «✕» vuelve a los filtros iniciales.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300"/>
        <w:gridCol w:w="4138"/>
      </w:tblGrid>
      <w:tr>
        <w:trPr>
          <w:cantSplit/>
          <w:tblHeader/>
        </w:trPr>
        <w:tc>
          <w:tcPr>
            <w:tcW w:type="dxa" w:w="22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41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Desde y Hasta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Mes y año</w:t>
            </w:r>
          </w:p>
        </w:tc>
        <w:tc>
          <w:tcPr>
            <w:tcW w:type="dxa" w:w="41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Periodo de las solicitudes que se siguen.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Ver por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Semana, quincena, mes, trimestre o año</w:t>
            </w:r>
          </w:p>
        </w:tc>
        <w:tc>
          <w:tcPr>
            <w:tcW w:type="dxa" w:w="41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Tramos de las gráficas de ritmo.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Año de solicitud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Uno o varios</w:t>
            </w:r>
          </w:p>
        </w:tc>
        <w:tc>
          <w:tcPr>
            <w:tcW w:type="dxa" w:w="41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Año en que se presentó la solicitud (la ayuda no tiene convocatorias).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Tipo de solicitud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Nacimiento, gestación, adopción, sin clasificar</w:t>
            </w:r>
          </w:p>
        </w:tc>
        <w:tc>
          <w:tcPr>
            <w:tcW w:type="dxa" w:w="41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Filtra todas las cifras.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Canal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Sede electrónica, oficina de registro, ORVE</w:t>
            </w:r>
          </w:p>
        </w:tc>
        <w:tc>
          <w:tcPr>
            <w:tcW w:type="dxa" w:w="41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Filtra todas las cifras.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Plazo</w:t>
            </w:r>
          </w:p>
        </w:tc>
        <w:tc>
          <w:tcPr>
            <w:tcW w:type="dxa" w:w="3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Días (90 de inicio)</w:t>
            </w:r>
          </w:p>
        </w:tc>
        <w:tc>
          <w:tcPr>
            <w:tcW w:type="dxa" w:w="41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Parámetro del incumplimiento de plazo; no filtra.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5.3 Cabecera de indicadores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Diecinueve indicadores en cinco bloques. Cada uno tiene un aviso (i) con qué es, la cifra de ahora y cómo leerlo. En los dos primeros bloques las cifras forman un embudo: cada tarjeta gris es lo que se queda en ese paso. Debajo de algunas cifras va su % sobre la tarjeta anterior.</w:t>
      </w:r>
    </w:p>
    <w:p>
      <w:pPr>
        <w:keepNext/>
        <w:spacing w:after="60"/>
      </w:pPr>
      <w:r>
        <w:drawing>
          <wp:inline distT="0" distB="0" distL="0" distR="0">
            <wp:extent cx="6124575" cy="1504950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Cabecera con los cinco bloques.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100"/>
        <w:gridCol w:w="2938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es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Cómo se calcula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6E9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A1F44"/>
                <w:sz w:val="16"/>
                <w:szCs w:val="16"/>
              </w:rPr>
              <w:t xml:space="preserve">Fase previa a la tramitación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Entradas en registro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Todo lo que entra por eReg para la ayuda en el periodo.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Solicitudes recibidas + aportaciones.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eReg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Aportaciones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Lo que entra y no es una solicitud: subsanaciones, recursos, comunicaciones, genéricas, duplicadas y anuladas.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Entradas del periodo que no son una solicitud.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eReg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Solicitudes recibidas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Solicitudes con formulario del periodo, una por número de registro.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Entradas con formulario, sin duplicadas. % sobre las entradas.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eReg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Pendientes de alta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Solicitudes del periodo aún sin expediente.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Recibidas − dadas de alta.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eReg + Atlantix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6E9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A1F44"/>
                <w:sz w:val="16"/>
                <w:szCs w:val="16"/>
              </w:rPr>
              <w:t xml:space="preserve">Fase de tramitación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Expedientes dados de alta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Solicitudes con expediente en Atlantix (alta del expediente, no de la nómina).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Recibidas con alta antes de la fecha de corte. % sobre las recibidas.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Expedientes pendientes de resolver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Dados de alta sin resolución, en tres grupos: en revisión, revisados sin proponer y ya propuestos.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Dados de alta − resueltos. El grupo sale de la situación a la fecha de corte.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Expedientes resueltos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Con resolución firmada: favorable, denegación o desistimiento.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Favorables + denegados o desistidos. % sobre los dados de alta.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Expedientes denegados o desistidos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«Resolución Denegación» y «Resolución Desestimiento».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Resoluciones de las solicitudes del periodo.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Expedientes resueltos favorables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«Resolución Favorable Concesión», firmada tras la Intervención.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Favorables antes de la fecha de corte. % sobre los resueltos.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6E9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A1F44"/>
                <w:sz w:val="16"/>
                <w:szCs w:val="16"/>
              </w:rPr>
              <w:t xml:space="preserve">Tiempos (de los resueltos en el periodo, en días naturales)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Tiempo E2E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Del registro a la resolución.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Media; en el aviso, mediana y percentil 90.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eReg + Atlantix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Registro → alta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Espera hasta crear el expediente.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Media de (alta − registro).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eReg + Atlantix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Alta → resolución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La tramitación.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Media de (resolución − alta).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Incumplimiento de plazo de tramitación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Resueltos que tardaron más del plazo.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Resueltos con más días que el plazo ÷ resueltos.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eReg + Atlantix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6E9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A1F44"/>
                <w:sz w:val="16"/>
                <w:szCs w:val="16"/>
              </w:rPr>
              <w:t xml:space="preserve">Reprocesos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Expedientes con reprocesos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Terminados que repitieron un paso: segundo requerimiento, tercero rechazado o devolución de la Intervención.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El primer requerimiento no cuenta. % sobre los terminados.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E6E9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0A1F44"/>
                <w:sz w:val="16"/>
                <w:szCs w:val="16"/>
              </w:rPr>
              <w:t xml:space="preserve">Gestión económica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Nuevas altas en nómina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Favorables del periodo que ya cobraron su primer pago.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Sin los pagos únicos.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 + Nexus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Beneficiarias activas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Personas con mensualidad en la última nómina pagada.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Una persona con dos expedientes cuenta dos veces.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 + Nexus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Pagos únicos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Pagos de una sola vez: con expediente propio y, aparte, por rectificación.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Los dos tipos se separan por el tipo de documento contable (a confirmar).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 + Nexus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Beneficiarias que han dejado de cobrar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Cobraron en el periodo y ya no cobran.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Extinciones + bajas + pagos únicos con expediente propio.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Atlantix + Nexus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Importe ejecutado</w:t>
            </w:r>
          </w:p>
        </w:tc>
        <w:tc>
          <w:tcPr>
            <w:tcW w:type="dxa" w:w="31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Todo lo pagado en el periodo.</w:t>
            </w:r>
          </w:p>
        </w:tc>
        <w:tc>
          <w:tcPr>
            <w:tcW w:type="dxa" w:w="29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Suma de pagos (fase OK) con fecha en el periodo, en euros y sin %.</w:t>
            </w:r>
          </w:p>
        </w:tc>
        <w:tc>
          <w:tcPr>
            <w:tcW w:type="dxa" w:w="1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6"/>
                <w:szCs w:val="16"/>
              </w:rPr>
              <w:t xml:space="preserve">Nexus</w:t>
            </w:r>
          </w:p>
        </w:tc>
      </w:tr>
    </w:tbl>
    <w:p>
      <w:pPr>
        <w:spacing w:after="120" w:before="0" w:line="276"/>
      </w:pP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En «Pendientes de resolver», al pasar el ratón por </w:t>
      </w:r>
      <w:r>
        <w:rPr>
          <w:rFonts w:ascii="Arial" w:cs="Arial" w:eastAsia="Arial" w:hAnsi="Arial"/>
          <w:b/>
          <w:bCs/>
          <w:color w:val="0A1F44"/>
        </w:rPr>
        <w:t xml:space="preserve">revisados sin proponer</w:t>
      </w:r>
      <w:r>
        <w:rPr>
          <w:rFonts w:ascii="Arial" w:cs="Arial" w:eastAsia="Arial" w:hAnsi="Arial"/>
          <w:color w:val="0A1F44"/>
        </w:rPr>
        <w:t xml:space="preserve"> se ve cuántos hay en total, cuánto llevan esperando y lo que costaría proponerlos todos en la próxima nómina. Al pulsar, se abre la tabla de expedientes sin actividad filtrada por ellos.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5.4 Tiempo y expedientes por fase</w:t>
      </w:r>
    </w:p>
    <w:p>
      <w:pPr>
        <w:keepNext/>
        <w:spacing w:after="60"/>
      </w:pPr>
      <w:r>
        <w:drawing>
          <wp:inline distT="0" distB="0" distL="0" distR="0">
            <wp:extent cx="6124575" cy="3552825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Días de media en cada fase y expedientes que hay ahora en cada una.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Barras:</w:t>
      </w:r>
      <w:r>
        <w:rPr>
          <w:rFonts w:ascii="Arial" w:cs="Arial" w:eastAsia="Arial" w:hAnsi="Arial"/>
          <w:color w:val="0A1F44"/>
        </w:rPr>
        <w:t xml:space="preserve"> días de media en cada fase de las solicitudes del periodo que ya han salido de ella. La primera, gris, es la entrada (registro → alta).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Línea:</w:t>
      </w:r>
      <w:r>
        <w:rPr>
          <w:rFonts w:ascii="Arial" w:cs="Arial" w:eastAsia="Arial" w:hAnsi="Arial"/>
          <w:color w:val="0A1F44"/>
        </w:rPr>
        <w:t xml:space="preserve"> expedientes abiertos hoy en cada fase.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«Días de»:</w:t>
      </w:r>
      <w:r>
        <w:rPr>
          <w:rFonts w:ascii="Arial" w:cs="Arial" w:eastAsia="Arial" w:hAnsi="Arial"/>
          <w:color w:val="0A1F44"/>
        </w:rPr>
        <w:t xml:space="preserve"> deja ver solo la parte de cada responsable: unidad gestora, solicitante, gestión económica, Intervención o calendario mensual.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Los botones de cada fase («Ver detalle») abren el detalle de la etapa, que es de la </w:t>
      </w:r>
      <w:r>
        <w:rPr>
          <w:rFonts w:ascii="Arial" w:cs="Arial" w:eastAsia="Arial" w:hAnsi="Arial"/>
          <w:b/>
          <w:bCs/>
          <w:color w:val="0A1F44"/>
        </w:rPr>
        <w:t xml:space="preserve">fase 2</w:t>
      </w:r>
      <w:r>
        <w:rPr>
          <w:rFonts w:ascii="Arial" w:cs="Arial" w:eastAsia="Arial" w:hAnsi="Arial"/>
          <w:color w:val="0A1F44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5.5 Entradas, salidas y stock</w:t>
      </w:r>
    </w:p>
    <w:p>
      <w:pPr>
        <w:keepNext/>
        <w:spacing w:after="60"/>
      </w:pPr>
      <w:r>
        <w:drawing>
          <wp:inline distT="0" distB="0" distL="0" distR="0">
            <wp:extent cx="6124575" cy="3552825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Ritmo del proceso por tramo.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Proceso completo:</w:t>
      </w:r>
      <w:r>
        <w:rPr>
          <w:rFonts w:ascii="Arial" w:cs="Arial" w:eastAsia="Arial" w:hAnsi="Arial"/>
          <w:color w:val="0A1F44"/>
        </w:rPr>
        <w:t xml:space="preserve"> solicitudes recibidas, expedientes dados de alta y resueltos en cada tramo, con el % de tramitación (altas ÷ recibidas) y de resolución (resueltos ÷ altas). Por encima del 100 % se recupera bolsa.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Por fases:</w:t>
      </w:r>
      <w:r>
        <w:rPr>
          <w:rFonts w:ascii="Arial" w:cs="Arial" w:eastAsia="Arial" w:hAnsi="Arial"/>
          <w:color w:val="0A1F44"/>
        </w:rPr>
        <w:t xml:space="preserve"> lo que entra, sale y queda pendiente en cada fase en el periodo.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Una fase:</w:t>
      </w:r>
      <w:r>
        <w:rPr>
          <w:rFonts w:ascii="Arial" w:cs="Arial" w:eastAsia="Arial" w:hAnsi="Arial"/>
          <w:color w:val="0A1F44"/>
        </w:rPr>
        <w:t xml:space="preserve"> su ritmo tramo a tramo, con lo pendiente al final de cada uno.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Al pasar el ratón por un tramo se ve cuántas altas y resoluciones son de solicitudes de tramos anteriores.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5.6 Stock pendiente por fase y antigüedad</w:t>
      </w:r>
    </w:p>
    <w:p>
      <w:pPr>
        <w:keepNext/>
        <w:spacing w:after="60"/>
      </w:pPr>
      <w:r>
        <w:drawing>
          <wp:inline distT="0" distB="0" distL="0" distR="0">
            <wp:extent cx="6124575" cy="2238375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Lo abierto a la fecha de corte, por fase y días desde el registro.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Una barra por fase, repartida en tramos de 0–30, 31–60, 61–90 y más de 90 días desde el registro. Lo rojo, más de 90 días, es lo primero que hay que mirar.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5.7 Composición</w:t>
      </w:r>
    </w:p>
    <w:p>
      <w:pPr>
        <w:keepNext/>
        <w:spacing w:after="60"/>
      </w:pPr>
      <w:r>
        <w:drawing>
          <wp:inline distT="0" distB="0" distL="0" distR="0">
            <wp:extent cx="6124575" cy="2238375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Reparto según la dimensión elegida.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Dimensiones: tipo de solicitud, canal, edad de la solicitante, nacionalidad, país de nacimiento, municipio, hijos por solicitud, sentido de la resolución, requisito incumplido y respuesta de la Intervención.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5.8 Gestión económica</w:t>
      </w:r>
    </w:p>
    <w:p>
      <w:pPr>
        <w:keepNext/>
        <w:spacing w:after="60"/>
      </w:pPr>
      <w:r>
        <w:drawing>
          <wp:inline distT="0" distB="0" distL="0" distR="0">
            <wp:extent cx="6124575" cy="2133600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Ejecución por línea y anualidad, y bloque «A corto plazo».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0A1F44"/>
        </w:rPr>
        <w:t xml:space="preserve">Ejecución por línea y anualidad.</w:t>
      </w:r>
      <w:r>
        <w:rPr>
          <w:rFonts w:ascii="Arial" w:cs="Arial" w:eastAsia="Arial" w:hAnsi="Arial"/>
          <w:color w:val="0A1F44"/>
        </w:rPr>
        <w:t xml:space="preserve"> Una línea es el año en que el expediente entró en nómina; se paga ese año y los siguientes. Se ve «Por anualidad» o «Por línea», eligiendo varias de cada una; cada grupo lleva su subtotal.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Autorizado (A)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Crédito aprobado (documento A de Nexus).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Dispuesto (D)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Lo comprometido con beneficiarias concretas (documento 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Ejecutado (OK)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Lo pagado (fase OK).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% ejecutado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Ejecutado ÷ autorizado.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Pendiente de pagar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Dispuesto − ejecutado.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Pendiente de disponer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Autorizado − dispuesto. No descuenta lo ya propuesto.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Beneficiarias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Expedientes que han cobrado en la anualidad, con los pagos únicos.</w:t>
            </w:r>
          </w:p>
        </w:tc>
      </w:tr>
    </w:tbl>
    <w:p>
      <w:pPr>
        <w:spacing w:after="120" w:before="0" w:line="276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0A1F44"/>
        </w:rPr>
        <w:t xml:space="preserve">A corto plazo.</w:t>
      </w:r>
      <w:r>
        <w:rPr>
          <w:rFonts w:ascii="Arial" w:cs="Arial" w:eastAsia="Arial" w:hAnsi="Arial"/>
          <w:color w:val="0A1F44"/>
        </w:rPr>
        <w:t xml:space="preserve"> Para la línea elegida y cada anualidad: autorizado, dispuesto, </w:t>
      </w:r>
      <w:r>
        <w:rPr>
          <w:rFonts w:ascii="Arial" w:cs="Arial" w:eastAsia="Arial" w:hAnsi="Arial"/>
          <w:b/>
          <w:bCs/>
          <w:color w:val="0A1F44"/>
        </w:rPr>
        <w:t xml:space="preserve">propuesto en Atlantix sin D</w:t>
      </w:r>
      <w:r>
        <w:rPr>
          <w:rFonts w:ascii="Arial" w:cs="Arial" w:eastAsia="Arial" w:hAnsi="Arial"/>
          <w:color w:val="0A1F44"/>
        </w:rPr>
        <w:t xml:space="preserve"> (todo lo propuesto, aunque esté en la Intervención), </w:t>
      </w:r>
      <w:r>
        <w:rPr>
          <w:rFonts w:ascii="Arial" w:cs="Arial" w:eastAsia="Arial" w:hAnsi="Arial"/>
          <w:b/>
          <w:bCs/>
          <w:color w:val="0A1F44"/>
        </w:rPr>
        <w:t xml:space="preserve">dispuesto + propuesto</w:t>
      </w:r>
      <w:r>
        <w:rPr>
          <w:rFonts w:ascii="Arial" w:cs="Arial" w:eastAsia="Arial" w:hAnsi="Arial"/>
          <w:color w:val="0A1F44"/>
        </w:rPr>
        <w:t xml:space="preserve">, % sobre el autorizado y </w:t>
      </w:r>
      <w:r>
        <w:rPr>
          <w:rFonts w:ascii="Arial" w:cs="Arial" w:eastAsia="Arial" w:hAnsi="Arial"/>
          <w:b/>
          <w:bCs/>
          <w:color w:val="0A1F44"/>
        </w:rPr>
        <w:t xml:space="preserve">margen para nuevas altas</w:t>
      </w:r>
      <w:r>
        <w:rPr>
          <w:rFonts w:ascii="Arial" w:cs="Arial" w:eastAsia="Arial" w:hAnsi="Arial"/>
          <w:color w:val="0A1F44"/>
        </w:rPr>
        <w:t xml:space="preserve">. Debajo dice cuántas altas más caben y qué anualidad lo limita, porque un alta se paga en varias anualidades.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5.9 Expedientes sin actividad</w:t>
      </w:r>
    </w:p>
    <w:p>
      <w:pPr>
        <w:keepNext/>
        <w:spacing w:after="60"/>
      </w:pPr>
      <w:r>
        <w:drawing>
          <wp:inline distT="0" distB="0" distL="0" distR="0">
            <wp:extent cx="6124575" cy="2009775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Lista de expedientes abiertos sin actuación.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Expedientes abiertos sin ninguna actuación durante más de los días elegidos: </w:t>
      </w:r>
      <w:r>
        <w:rPr>
          <w:rFonts w:ascii="Arial" w:cs="Arial" w:eastAsia="Arial" w:hAnsi="Arial"/>
          <w:b/>
          <w:bCs/>
          <w:color w:val="0A1F44"/>
        </w:rPr>
        <w:t xml:space="preserve">más de 30, 60, 90 o 180</w:t>
      </w:r>
      <w:r>
        <w:rPr>
          <w:rFonts w:ascii="Arial" w:cs="Arial" w:eastAsia="Arial" w:hAnsi="Arial"/>
          <w:color w:val="0A1F4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Filtros: </w:t>
      </w:r>
      <w:r>
        <w:rPr>
          <w:rFonts w:ascii="Arial" w:cs="Arial" w:eastAsia="Arial" w:hAnsi="Arial"/>
          <w:b/>
          <w:bCs/>
          <w:color w:val="0A1F44"/>
        </w:rPr>
        <w:t xml:space="preserve">etapa</w:t>
      </w:r>
      <w:r>
        <w:rPr>
          <w:rFonts w:ascii="Arial" w:cs="Arial" w:eastAsia="Arial" w:hAnsi="Arial"/>
          <w:color w:val="0A1F44"/>
        </w:rPr>
        <w:t xml:space="preserve"> de Atlantix, con la opción «revisados sin proponer», y </w:t>
      </w:r>
      <w:r>
        <w:rPr>
          <w:rFonts w:ascii="Arial" w:cs="Arial" w:eastAsia="Arial" w:hAnsi="Arial"/>
          <w:b/>
          <w:bCs/>
          <w:color w:val="0A1F44"/>
        </w:rPr>
        <w:t xml:space="preserve">depende de</w:t>
      </w:r>
      <w:r>
        <w:rPr>
          <w:rFonts w:ascii="Arial" w:cs="Arial" w:eastAsia="Arial" w:hAnsi="Arial"/>
          <w:color w:val="0A1F44"/>
        </w:rPr>
        <w:t xml:space="preserve"> (pestañas por responsable).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Columnas: expediente, fecha de registro, etapa, situación, depende de, días desde el registro, días sin actuación, </w:t>
      </w:r>
      <w:r>
        <w:rPr>
          <w:rFonts w:ascii="Arial" w:cs="Arial" w:eastAsia="Arial" w:hAnsi="Arial"/>
          <w:b/>
          <w:bCs/>
          <w:color w:val="0A1F44"/>
        </w:rPr>
        <w:t xml:space="preserve">atrasos acumulados</w:t>
      </w:r>
      <w:r>
        <w:rPr>
          <w:rFonts w:ascii="Arial" w:cs="Arial" w:eastAsia="Arial" w:hAnsi="Arial"/>
          <w:color w:val="0A1F44"/>
        </w:rPr>
        <w:t xml:space="preserve"> y </w:t>
      </w:r>
      <w:r>
        <w:rPr>
          <w:rFonts w:ascii="Arial" w:cs="Arial" w:eastAsia="Arial" w:hAnsi="Arial"/>
          <w:b/>
          <w:bCs/>
          <w:color w:val="0A1F44"/>
        </w:rPr>
        <w:t xml:space="preserve">meses de atraso</w:t>
      </w:r>
      <w:r>
        <w:rPr>
          <w:rFonts w:ascii="Arial" w:cs="Arial" w:eastAsia="Arial" w:hAnsi="Arial"/>
          <w:color w:val="0A1F44"/>
        </w:rPr>
        <w:t xml:space="preserve"> (atrasos ÷ mensualidad del expediente).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Los requerimientos con el plazo vencido llevan el aviso </w:t>
      </w:r>
      <w:r>
        <w:rPr>
          <w:rFonts w:ascii="Arial" w:cs="Arial" w:eastAsia="Arial" w:hAnsi="Arial"/>
          <w:b/>
          <w:bCs/>
          <w:color w:val="0A1F44"/>
        </w:rPr>
        <w:t xml:space="preserve">«valorar desistimiento»</w:t>
      </w:r>
      <w:r>
        <w:rPr>
          <w:rFonts w:ascii="Arial" w:cs="Arial" w:eastAsia="Arial" w:hAnsi="Arial"/>
          <w:color w:val="0A1F4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Se ven los 10 con más días sin actuación; la lista completa se </w:t>
      </w:r>
      <w:r>
        <w:rPr>
          <w:rFonts w:ascii="Arial" w:cs="Arial" w:eastAsia="Arial" w:hAnsi="Arial"/>
          <w:b/>
          <w:bCs/>
          <w:color w:val="0A1F44"/>
        </w:rPr>
        <w:t xml:space="preserve">exporta a Excel</w:t>
      </w:r>
      <w:r>
        <w:rPr>
          <w:rFonts w:ascii="Arial" w:cs="Arial" w:eastAsia="Arial" w:hAnsi="Arial"/>
          <w:color w:val="0A1F44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5.10 Explorador de procesos</w:t>
      </w:r>
    </w:p>
    <w:p>
      <w:pPr>
        <w:keepNext/>
        <w:spacing w:after="60"/>
      </w:pPr>
      <w:r>
        <w:drawing>
          <wp:inline distT="0" distB="0" distL="0" distR="0">
            <wp:extent cx="6124575" cy="2971800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El recorrido de las solicitudes del periodo en forma de árbol.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Cada caja se reparte en las dos de debajo, que suman lo mismo: entradas → aportaciones y solicitudes → pendientes de alta y dados de alta → pendientes de resolver y resueltos → denegados o desistidos y favorables. Las cifras son las de la cabecera. Al pasar el ratón por una caja se ve su detalle.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5.11 Hoja de validación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Una fila por cada indicador del documento de la Subdirección del 05/10: qué se pide, cómo lo calcula la pantalla, de qué sistema sale y dónde se ve. La unidad marca la validación y sus observaciones en la propia hoja y la descarga para devolverla.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Fase 2 · a confirmar</w:t>
      </w:r>
    </w:p>
    <w:p>
      <w:pPr>
        <w:pBdr>
          <w:left w:val="single" w:color="D98324" w:sz="18" w:space="8"/>
        </w:pBdr>
        <w:shd w:fill="FFF4E0" w:color="auto" w:val="clear"/>
        <w:spacing w:after="200" w:before="0" w:line="276"/>
        <w:ind w:left="140" w:right="140"/>
      </w:pPr>
      <w:r>
        <w:rPr>
          <w:rFonts w:ascii="Arial" w:cs="Arial" w:eastAsia="Arial" w:hAnsi="Arial"/>
          <w:color w:val="0A1F44"/>
        </w:rPr>
        <w:t xml:space="preserve">Estas dos partes se ven en el mockup para que se pueda opinar sobre ellas, pero </w:t>
      </w:r>
      <w:r>
        <w:rPr>
          <w:rFonts w:ascii="Arial" w:cs="Arial" w:eastAsia="Arial" w:hAnsi="Arial"/>
          <w:b/>
          <w:bCs/>
          <w:color w:val="0A1F44"/>
        </w:rPr>
        <w:t xml:space="preserve">no entran en la fase 1</w:t>
      </w:r>
      <w:r>
        <w:rPr>
          <w:rFonts w:ascii="Arial" w:cs="Arial" w:eastAsia="Arial" w:hAnsi="Arial"/>
          <w:color w:val="0A1F44"/>
        </w:rPr>
        <w:t xml:space="preserve">. Se desarrollarán si se cumplen las condiciones de cada una.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6.1 Detalle de cada etapa</w:t>
      </w:r>
    </w:p>
    <w:p>
      <w:pPr>
        <w:keepNext/>
        <w:spacing w:after="60"/>
      </w:pPr>
      <w:r>
        <w:drawing>
          <wp:inline distT="0" distB="0" distL="0" distR="0">
            <wp:extent cx="6124575" cy="2381250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Detalle de «Gestión del expediente» en el mockup (ilustrativo).</w:t>
      </w:r>
    </w:p>
    <w:p>
      <w:pPr>
        <w:spacing w:after="120" w:before="0" w:line="276"/>
      </w:pPr>
      <w:r>
        <w:rPr>
          <w:rFonts w:ascii="Arial" w:cs="Arial" w:eastAsia="Arial" w:hAnsi="Arial"/>
          <w:color w:val="0A1F44"/>
        </w:rPr>
        <w:t xml:space="preserve">Al pulsar «Ver detalle» en una fase, la pantalla muestra: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Los </w:t>
      </w:r>
      <w:r>
        <w:rPr>
          <w:rFonts w:ascii="Arial" w:cs="Arial" w:eastAsia="Arial" w:hAnsi="Arial"/>
          <w:b/>
          <w:bCs/>
          <w:color w:val="0A1F44"/>
        </w:rPr>
        <w:t xml:space="preserve">días de media</w:t>
      </w:r>
      <w:r>
        <w:rPr>
          <w:rFonts w:ascii="Arial" w:cs="Arial" w:eastAsia="Arial" w:hAnsi="Arial"/>
          <w:color w:val="0A1F44"/>
        </w:rPr>
        <w:t xml:space="preserve"> en la fase, repartidos por responsable.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Lo que ha pasado en el periodo: propuestas, requerimientos, subsanaciones, denegaciones, desistimientos y </w:t>
      </w:r>
      <w:r>
        <w:rPr>
          <w:rFonts w:ascii="Arial" w:cs="Arial" w:eastAsia="Arial" w:hAnsi="Arial"/>
          <w:b/>
          <w:bCs/>
          <w:color w:val="0A1F44"/>
        </w:rPr>
        <w:t xml:space="preserve">decisiones por efectivo y mes</w:t>
      </w:r>
      <w:r>
        <w:rPr>
          <w:rFonts w:ascii="Arial" w:cs="Arial" w:eastAsia="Arial" w:hAnsi="Arial"/>
          <w:color w:val="0A1F44"/>
        </w:rPr>
        <w:t xml:space="preserve"> (con el número de efectivos como parámetro).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Desviaciones de tiempos:</w:t>
      </w:r>
      <w:r>
        <w:rPr>
          <w:rFonts w:ascii="Arial" w:cs="Arial" w:eastAsia="Arial" w:hAnsi="Arial"/>
          <w:color w:val="0A1F44"/>
        </w:rPr>
        <w:t xml:space="preserve"> días hasta cada actividad, media, mediana y desviación.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Desviaciones de reprocesos:</w:t>
      </w:r>
      <w:r>
        <w:rPr>
          <w:rFonts w:ascii="Arial" w:cs="Arial" w:eastAsia="Arial" w:hAnsi="Arial"/>
          <w:color w:val="0A1F44"/>
        </w:rPr>
        <w:t xml:space="preserve"> cuántas veces se repite cada actividad, % de expedientes con reproceso y días perdidos.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0A1F44"/>
        </w:rPr>
        <w:t xml:space="preserve">Para desarrollarlo hace falta: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La lista de etapas y actividades que se usan de verdad en Atlantix (Mila). Atlantix no tiene subfases: se pasa de una etapa a otra.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Comprobar que la bitácora de Atlantix guarda cada actividad con su fecha.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El número de efectivos de la unidad, si se quiere la productividad.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6.2 Comparativa de periodos</w:t>
      </w:r>
    </w:p>
    <w:p>
      <w:pPr>
        <w:keepNext/>
        <w:spacing w:after="60"/>
      </w:pPr>
      <w:r>
        <w:drawing>
          <wp:inline distT="0" distB="0" distL="0" distR="0">
            <wp:extent cx="6124575" cy="1562100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Cabecera comparada con las mismas fechas del año anterior. Reprocesos y gestión económica no se comparan.</w:t>
      </w:r>
    </w:p>
    <w:p>
      <w:pPr>
        <w:keepNext/>
        <w:spacing w:after="60"/>
      </w:pPr>
      <w:r>
        <w:drawing>
          <wp:inline distT="0" distB="0" distL="0" distR="0">
            <wp:extent cx="6124575" cy="3581400"/>
            <wp:effectExtent t="0" r="0" b="0" l="0"/>
            <wp:docPr id="1" name="captura" descr="Captura del mockup" title="Captura d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Pestaña «Comparativa de periodos»: los dos periodos lado a lado y la actividad de cada año.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Filtro </w:t>
      </w:r>
      <w:r>
        <w:rPr>
          <w:rFonts w:ascii="Arial" w:cs="Arial" w:eastAsia="Arial" w:hAnsi="Arial"/>
          <w:b/>
          <w:bCs/>
          <w:color w:val="0A1F44"/>
        </w:rPr>
        <w:t xml:space="preserve">«Comparar con»</w:t>
      </w:r>
      <w:r>
        <w:rPr>
          <w:rFonts w:ascii="Arial" w:cs="Arial" w:eastAsia="Arial" w:hAnsi="Arial"/>
          <w:color w:val="0A1F44"/>
        </w:rPr>
        <w:t xml:space="preserve">: periodo anterior, mismas fechas del año anterior u otro periodo.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Debajo de los indicadores de </w:t>
      </w:r>
      <w:r>
        <w:rPr>
          <w:rFonts w:ascii="Arial" w:cs="Arial" w:eastAsia="Arial" w:hAnsi="Arial"/>
          <w:b/>
          <w:bCs/>
          <w:color w:val="0A1F44"/>
        </w:rPr>
        <w:t xml:space="preserve">volumen, tramitación y tiempos</w:t>
      </w:r>
      <w:r>
        <w:rPr>
          <w:rFonts w:ascii="Arial" w:cs="Arial" w:eastAsia="Arial" w:hAnsi="Arial"/>
          <w:color w:val="0A1F44"/>
        </w:rPr>
        <w:t xml:space="preserve">, la </w:t>
      </w:r>
      <w:r>
        <w:rPr>
          <w:rFonts w:ascii="Arial" w:cs="Arial" w:eastAsia="Arial" w:hAnsi="Arial"/>
          <w:b/>
          <w:bCs/>
          <w:color w:val="0A1F44"/>
        </w:rPr>
        <w:t xml:space="preserve">diferencia en número y en %</w:t>
      </w:r>
      <w:r>
        <w:rPr>
          <w:rFonts w:ascii="Arial" w:cs="Arial" w:eastAsia="Arial" w:hAnsi="Arial"/>
          <w:color w:val="0A1F44"/>
        </w:rPr>
        <w:t xml:space="preserve"> (en puntos si el indicador ya es un %).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color w:val="0A1F44"/>
        </w:rPr>
        <w:t xml:space="preserve">Pestaña </w:t>
      </w:r>
      <w:r>
        <w:rPr>
          <w:rFonts w:ascii="Arial" w:cs="Arial" w:eastAsia="Arial" w:hAnsi="Arial"/>
          <w:b/>
          <w:bCs/>
          <w:color w:val="0A1F44"/>
        </w:rPr>
        <w:t xml:space="preserve">«Comparativa de periodos»</w:t>
      </w:r>
      <w:r>
        <w:rPr>
          <w:rFonts w:ascii="Arial" w:cs="Arial" w:eastAsia="Arial" w:hAnsi="Arial"/>
          <w:color w:val="0A1F44"/>
        </w:rPr>
        <w:t xml:space="preserve">: esos indicadores en los dos periodos, lado a lado, y la actividad por mes, trimestre, semestre o año frente al tramo anterior (recibidas, dadas de alta, resueltas, favorables, denegadas o desistidas y tiempo E2E). Las dos tablas se exportan a Excel.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color w:val="0A1F44"/>
        </w:rPr>
        <w:t xml:space="preserve">De momento no incluye reprocesos ni gestión económica</w:t>
      </w:r>
      <w:r>
        <w:rPr>
          <w:rFonts w:ascii="Arial" w:cs="Arial" w:eastAsia="Arial" w:hAnsi="Arial"/>
          <w:color w:val="0A1F44"/>
        </w:rPr>
        <w:t xml:space="preserve"> (Javier, 30/10). Se podrán añadir más adelante.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0A1F44"/>
        </w:rPr>
        <w:t xml:space="preserve">Para desarrollarlo hace falta</w:t>
      </w:r>
      <w:r>
        <w:rPr>
          <w:rFonts w:ascii="Arial" w:cs="Arial" w:eastAsia="Arial" w:hAnsi="Arial"/>
          <w:color w:val="0A1F44"/>
        </w:rPr>
        <w:t xml:space="preserve"> confirmar con Andrés que Celonis puede calcular toda la cabecera para dos periodos a la vez y mostrar la diferencia, como en el mockup.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7. Pendientes para cerrar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1900"/>
        <w:gridCol w:w="3438"/>
      </w:tblGrid>
      <w:tr>
        <w:trPr>
          <w:cantSplit/>
          <w:tblHeader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Decidir dónde se registra la revisión de conformidad: etapa «Propuesta favorable» o marca con fecha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Gema y Mila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Contar los revisados sin proponer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Etapas y actividades reales de Atlantix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Mila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Detalle de cada etapa (fase 2)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Tipo de documento contable de los pagos únicos y si llevan expediente o DNI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Pablo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Separar los dos tipos de pago único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Nombres de los indicadores de los cuadros de dirección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Enrique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Usar los mismos nombres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Confirmar que Celonis permite comparar dos periodos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Andrés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Comparativa de periodos (fase 2)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Respuestas pendientes al Excel de datos necesarios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Eficiencia (Madrid Digital)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Calcular con datos reales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Frecuencia de actualización de los datos</w:t>
            </w:r>
          </w:p>
        </w:tc>
        <w:tc>
          <w:tcPr>
            <w:tcW w:type="dxa" w:w="19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Por acordar</w:t>
            </w:r>
          </w:p>
        </w:tc>
        <w:tc>
          <w:tcPr>
            <w:tcW w:type="dxa" w:w="34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Fecha de corte del cuadro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8.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0A1F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Alta del expediente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Creación del expediente en Atlantix a partir del registro. No es el alta en nómina.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Alta en nómina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Primer pago de un expediente favorable; después pasa a mantenimiento.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Anualidad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Año de pago.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A, D y OK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Documentos contables de Nexus: autorizado, dispuesto y pagado.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Fecha de corte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Día en que se mira dónde está cada expediente.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Línea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Año en que el expediente entró en nómina.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Expedientes que cobran cada mes en la nómina.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Pago único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Pago de una sola vez, fuera de la nómina mensual: con expediente propio o por rectificación.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Propuesta mensual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Lista de expedientes que la unidad propone cada mes a nómina, con su mes de pago.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Reproceso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Paso que se repite sin estar previsto: segundo requerimiento, tercero rechazado o devolución de la Intervención.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Revisión de conformidad</w:t>
            </w:r>
          </w:p>
        </w:tc>
        <w:tc>
          <w:tcPr>
            <w:tcW w:type="dxa" w:w="7038"/>
            <w:tcBorders>
              <w:top w:val="single" w:color="D3D3DD" w:sz="4"/>
              <w:left w:val="single" w:color="D3D3DD" w:sz="4"/>
              <w:bottom w:val="single" w:color="D3D3DD" w:sz="4"/>
              <w:right w:val="single" w:color="D3D3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Expediente revisado OK en «Gestión Expediente» que espera entrar en una propuesta.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Documento funcional · Cuadro de seguimiento · Ayudas a la natalidad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F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A1F4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A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26fc8c460e3522e431b528641eae43c587a21ae.png"/><Relationship Id="rId9" Type="http://schemas.openxmlformats.org/officeDocument/2006/relationships/image" Target="media/67a0a5260a6576286c82113bce809d7f66557677.png"/><Relationship Id="rId10" Type="http://schemas.openxmlformats.org/officeDocument/2006/relationships/image" Target="media/77b423dcbdd810c0bf6a162db2cbda9fbe300165.png"/><Relationship Id="rId11" Type="http://schemas.openxmlformats.org/officeDocument/2006/relationships/image" Target="media/312219ddbc239138f3e8baa7be9c0c0ccc2aa387.png"/><Relationship Id="rId12" Type="http://schemas.openxmlformats.org/officeDocument/2006/relationships/image" Target="media/43d38f051beb6ae97c9e3150d209ad5b137000a4.png"/><Relationship Id="rId13" Type="http://schemas.openxmlformats.org/officeDocument/2006/relationships/image" Target="media/12f3be3c6134fb990c97f3659ac6d43135fe9352.png"/><Relationship Id="rId14" Type="http://schemas.openxmlformats.org/officeDocument/2006/relationships/image" Target="media/c2b29ef22955615c0c50054cc7246ee74bf36ab4.png"/><Relationship Id="rId15" Type="http://schemas.openxmlformats.org/officeDocument/2006/relationships/image" Target="media/285306d74e2301c11ed5c65965e2f851fe628b00.png"/><Relationship Id="rId16" Type="http://schemas.openxmlformats.org/officeDocument/2006/relationships/image" Target="media/1a5fccf73d234e2b94fb185b7b83ed488b549880.png"/><Relationship Id="rId17" Type="http://schemas.openxmlformats.org/officeDocument/2006/relationships/image" Target="media/0acd4cd7095d1ff9a5a1ce9dc4a62a2aa1281ba7.png"/><Relationship Id="rId18" Type="http://schemas.openxmlformats.org/officeDocument/2006/relationships/image" Target="media/61b8c320331238ccfab5ae1662a18fd31bb5dbbd.png"/><Relationship Id="rId19" Type="http://schemas.openxmlformats.org/officeDocument/2006/relationships/image" Target="media/f8d263d4592c5a23e2e551167c05da11fb27b6b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· Cuadro de seguimiento · Ayudas a la natalidad</dc:title>
  <dc:creator>NTT DATA</dc:creator>
  <cp:lastModifiedBy>Un-named</cp:lastModifiedBy>
  <cp:revision>1</cp:revision>
  <dcterms:created xsi:type="dcterms:W3CDTF">2026-10-30T10:20:18.995Z</dcterms:created>
  <dcterms:modified xsi:type="dcterms:W3CDTF">2026-10-30T10:20:18.996Z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