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A1F44"/>
          <w:sz w:val="40"/>
          <w:szCs w:val="40"/>
        </w:rPr>
        <w:t xml:space="preserve">Peticiones de la sesión del 27/10 y cambios en el mockup</w:t>
      </w:r>
    </w:p>
    <w:p>
      <w:pPr>
        <w:spacing w:after="6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Ayudas por gestación, nacimiento o adopción · Cuadro de seguimiento del proceso</w:t>
      </w:r>
    </w:p>
    <w:p>
      <w:pPr>
        <w:pBdr>
          <w:bottom w:val="single" w:color="0A1F44" w:sz="8" w:space="6"/>
        </w:pBdr>
        <w:spacing w:after="2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Reunión de revisión de pantallas del 27/10/2026 · Mockup de referencia: versión 25 · 30/10/2026</w:t>
      </w:r>
    </w:p>
    <w:p>
      <w:pPr>
        <w:pBdr>
          <w:left w:val="single" w:color="E3A008" w:sz="18" w:space="8"/>
        </w:pBdr>
        <w:shd w:fill="FFF8E1" w:color="auto" w:val="clear"/>
        <w:spacing w:after="200" w:before="0" w:line="276"/>
        <w:ind w:left="140" w:right="140"/>
      </w:pPr>
      <w:r>
        <w:rPr>
          <w:rFonts w:ascii="Arial" w:cs="Arial" w:eastAsia="Arial" w:hAnsi="Arial"/>
          <w:b/>
          <w:bCs/>
          <w:color w:val="0A1F44"/>
        </w:rPr>
        <w:t xml:space="preserve">Importante:</w:t>
      </w:r>
      <w:r>
        <w:rPr>
          <w:rFonts w:ascii="Arial" w:cs="Arial" w:eastAsia="Arial" w:hAnsi="Arial"/>
          <w:color w:val="0A1F44"/>
        </w:rPr>
        <w:t xml:space="preserve"> las cifras de las capturas son del mockup y son ficticias.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1. Resumen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En la sesión del 27/10 la unidad hizo </w:t>
      </w:r>
      <w:r>
        <w:rPr>
          <w:rFonts w:ascii="Arial" w:cs="Arial" w:eastAsia="Arial" w:hAnsi="Arial"/>
          <w:b/>
          <w:bCs/>
          <w:color w:val="0A1F44"/>
        </w:rPr>
        <w:t xml:space="preserve">19 peticiones</w:t>
      </w:r>
      <w:r>
        <w:rPr>
          <w:rFonts w:ascii="Arial" w:cs="Arial" w:eastAsia="Arial" w:hAnsi="Arial"/>
          <w:color w:val="0A1F44"/>
        </w:rPr>
        <w:t xml:space="preserve"> sobre el cuadro. Así quedan en el mockup: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300"/>
        <w:gridCol w:w="4738"/>
      </w:tblGrid>
      <w:tr>
        <w:trPr>
          <w:cantSplit/>
          <w:tblHeader/>
        </w:trPr>
        <w:tc>
          <w:tcPr>
            <w:tcW w:type="dxa" w:w="3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queda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Cuántas</w:t>
            </w:r>
          </w:p>
        </w:tc>
        <w:tc>
          <w:tcPr>
            <w:tcW w:type="dxa" w:w="47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Cuáles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Nuevo en el mockup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8"/>
                <w:szCs w:val="18"/>
              </w:rPr>
              <w:t xml:space="preserve">12</w:t>
            </w:r>
          </w:p>
        </w:tc>
        <w:tc>
          <w:tcPr>
            <w:tcW w:type="dxa" w:w="47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1, 2, 3, 4, 5, 6, 9, 12, 13, 14, 15 y 16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Sin cambios, por acuerdo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8"/>
                <w:szCs w:val="18"/>
              </w:rPr>
              <w:t xml:space="preserve">2</w:t>
            </w:r>
          </w:p>
        </w:tc>
        <w:tc>
          <w:tcPr>
            <w:tcW w:type="dxa" w:w="47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7 y 11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FF4E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9A5B00"/>
                <w:sz w:val="18"/>
                <w:szCs w:val="18"/>
              </w:rPr>
              <w:t xml:space="preserve">Fase 2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8"/>
                <w:szCs w:val="18"/>
              </w:rPr>
              <w:t xml:space="preserve">1</w:t>
            </w:r>
          </w:p>
        </w:tc>
        <w:tc>
          <w:tcPr>
            <w:tcW w:type="dxa" w:w="47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3F4FB8"/>
                <w:sz w:val="18"/>
                <w:szCs w:val="18"/>
              </w:rPr>
              <w:t xml:space="preserve">Fuera del cuadro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8"/>
                <w:szCs w:val="18"/>
              </w:rPr>
              <w:t xml:space="preserve">3</w:t>
            </w:r>
          </w:p>
        </w:tc>
        <w:tc>
          <w:tcPr>
            <w:tcW w:type="dxa" w:w="47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10, 17 y 19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DECE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B42318"/>
                <w:sz w:val="18"/>
                <w:szCs w:val="18"/>
              </w:rPr>
              <w:t xml:space="preserve">Pendiente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8"/>
                <w:szCs w:val="18"/>
              </w:rPr>
              <w:t xml:space="preserve">1</w:t>
            </w:r>
          </w:p>
        </w:tc>
        <w:tc>
          <w:tcPr>
            <w:tcW w:type="dxa" w:w="47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18</w:t>
            </w:r>
          </w:p>
        </w:tc>
      </w:tr>
    </w:tbl>
    <w:p>
      <w:pPr>
        <w:spacing w:after="120" w:before="0" w:line="276"/>
      </w:pPr>
    </w:p>
    <w:p>
      <w:pPr>
        <w:pBdr>
          <w:left w:val="single" w:color="3F4FB8" w:sz="18" w:space="8"/>
        </w:pBdr>
        <w:shd w:fill="EEF0FB" w:color="auto" w:val="clear"/>
        <w:spacing w:after="200" w:before="0" w:line="276"/>
        <w:ind w:left="140" w:right="140"/>
      </w:pPr>
      <w:r>
        <w:rPr>
          <w:rFonts w:ascii="Arial" w:cs="Arial" w:eastAsia="Arial" w:hAnsi="Arial"/>
          <w:color w:val="0A1F44"/>
        </w:rPr>
        <w:t xml:space="preserve">La </w:t>
      </w:r>
      <w:r>
        <w:rPr>
          <w:rFonts w:ascii="Arial" w:cs="Arial" w:eastAsia="Arial" w:hAnsi="Arial"/>
          <w:b/>
          <w:bCs/>
          <w:color w:val="0A1F44"/>
        </w:rPr>
        <w:t xml:space="preserve">comparativa de periodos (1)</w:t>
      </w:r>
      <w:r>
        <w:rPr>
          <w:rFonts w:ascii="Arial" w:cs="Arial" w:eastAsia="Arial" w:hAnsi="Arial"/>
          <w:color w:val="0A1F44"/>
        </w:rPr>
        <w:t xml:space="preserve"> ya está en el mockup, pero se propone para la </w:t>
      </w:r>
      <w:r>
        <w:rPr>
          <w:rFonts w:ascii="Arial" w:cs="Arial" w:eastAsia="Arial" w:hAnsi="Arial"/>
          <w:b/>
          <w:bCs/>
          <w:color w:val="0A1F44"/>
        </w:rPr>
        <w:t xml:space="preserve">fase 2</w:t>
      </w:r>
      <w:r>
        <w:rPr>
          <w:rFonts w:ascii="Arial" w:cs="Arial" w:eastAsia="Arial" w:hAnsi="Arial"/>
          <w:color w:val="0A1F44"/>
        </w:rPr>
        <w:t xml:space="preserve"> hasta confirmar que Celonis la permite. De momento compara volumen, tramitación y tiempos, sin reprocesos ni gestión económica (Javier, 30/10). Lo mismo pasa con el </w:t>
      </w:r>
      <w:r>
        <w:rPr>
          <w:rFonts w:ascii="Arial" w:cs="Arial" w:eastAsia="Arial" w:hAnsi="Arial"/>
          <w:b/>
          <w:bCs/>
          <w:color w:val="0A1F44"/>
        </w:rPr>
        <w:t xml:space="preserve">detalle de cada etapa (8)</w:t>
      </w:r>
      <w:r>
        <w:rPr>
          <w:rFonts w:ascii="Arial" w:cs="Arial" w:eastAsia="Arial" w:hAnsi="Arial"/>
          <w:color w:val="0A1F44"/>
        </w:rPr>
        <w:t xml:space="preserve">, que depende de las etapas y actividades reales de Atlantix.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2. Todas las peticiones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Ordenadas por la zona de la pantalla a la que se refieren. «Quién» es quien lo pidió en la sesión.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0"/>
        <w:gridCol w:w="2700"/>
        <w:gridCol w:w="1250"/>
        <w:gridCol w:w="3468"/>
        <w:gridCol w:w="1700"/>
      </w:tblGrid>
      <w:tr>
        <w:trPr>
          <w:cantSplit/>
          <w:tblHeader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Petición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Quién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hay en el mockup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queda</w:t>
            </w:r>
          </w:p>
        </w:tc>
      </w:tr>
      <w:tr>
        <w:trPr>
          <w:cantSplit/>
        </w:trPr>
        <w:tc>
          <w:tcPr>
            <w:tcW w:type="dxa" w:w="9638"/>
            <w:gridSpan w:val="5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A. Filtros y cabecera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Comparar dos periodos y ver la diferencia en número y en %, sin hacer cuentas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Gema, Cristina y Mila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Filtro «Comparar con»: periodo anterior, mismas fechas del año anterior u otro periodo. Debajo de los indicadores de volumen, tramitación y tiempos sale la diferencia en número y en %. Pestaña «Comparativa de periodos», exportable a Excel. De momento, sin reprocesos ni gestión económica.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FF4E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9A5B00"/>
                <w:sz w:val="17"/>
                <w:szCs w:val="17"/>
              </w:rPr>
              <w:t xml:space="preserve">Nuevo · se propone para la fase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Ver aparte, dentro de los pendientes de resolver, los revisados de conformidad que aún no se han propuesto a nómina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Mila y Gema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«Expedientes pendientes de resolver» se divide en tres: en revisión, </w:t>
            </w: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revisados sin proponer</w:t>
            </w: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 (destacado) y ya propuestos. Al pasar el ratón, lo que costaría proponerlos todos en la próxima nómina; al pulsar, la lista.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Retrabajo con número de expedientes, no solo el %, y llamarlo «reprocesos»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Mila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«Expedientes con reprocesos»: número de expedientes y % de los terminados.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Cambiar «Beneficiarias inactivas» y sumar los pagos únicos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Pablo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«Beneficiarias que han dejado de cobrar»: bajas, extinciones y pagos únicos.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Separar los pagos únicos con expediente propio de los que van «por fuera» (rectificación)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Pablo y Mila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Tarjeta «Pagos únicos»: los de expediente propio y, debajo, los de rectificación.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Cambiar «Ejecución presupuestaria» por «Importe ejecutado», en euros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Mila y Pablo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«Importe ejecutado»: lo pagado en el periodo, en euros y sin %. El % de ejecución y el margen están en «Gestión económica».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9638"/>
            <w:gridSpan w:val="5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B. Gráficas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7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«Tiempo y expedientes por fase»: dejar claro qué cuenta cada columna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Gema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La gráfica no cambia: la columna gris son los pendientes de alta y las azules, las etapas de Atlantix. El aviso (i) lo explica.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Sin cambios, por acuerdo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8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«Detalle de la fase»: rehacerlo con las etapas y actividades reales de Atlantix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Mila y Javi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Se queda ilustrativo hasta tener las etapas y actividades reales.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FF4E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9A5B00"/>
                <w:sz w:val="17"/>
                <w:szCs w:val="17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9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«Entradas, salidas y stock»: explicar por qué un mes tiene más altas que solicitudes recibidas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Gema y Cristina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El aviso y el detalle de cada mes explican que también se dan de alta solicitudes de meses anteriores, y cuántas.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10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Antigüedad de lo tramitado: de qué mes son las solicitudes de cada remesa y cuántos meses de atraso llevan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Mila y Enrique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Es un informe a medida, no un indicador del cuadro. La tabla de expedientes sin actividad ya da los meses de atraso de cada expediente.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3F4FB8"/>
                <w:sz w:val="17"/>
                <w:szCs w:val="17"/>
              </w:rPr>
              <w:t xml:space="preserve">Fuera del cuadro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11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«Composición»: mantener «Hijos por solicitud»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La unidad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Se mantiene.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Sin cambios, por acuerdo</w:t>
            </w:r>
          </w:p>
        </w:tc>
      </w:tr>
      <w:tr>
        <w:trPr>
          <w:cantSplit/>
        </w:trPr>
        <w:tc>
          <w:tcPr>
            <w:tcW w:type="dxa" w:w="9638"/>
            <w:gridSpan w:val="5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C. Gestión económica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12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Ver la tabla por línea o por anualidad, eligiendo varias a la vez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Pablo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«Por anualidad» o «Por línea», con selección de varias líneas y anualidades. Cada grupo lleva su subtotal y hay un total de lo elegido.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13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«A corto plazo»: por anualidad, «Dispuesto + propuesto» en lugar de «Cierre previsto» y el corte de lo propuesto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Pablo y Gema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Tabla por anualidad con dispuesto, propuesto sin D, dispuesto + propuesto, % y margen; cuántas altas más caben y qué anualidad lo limita. Lo propuesto incluye lo que está en la Intervención.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9638"/>
            <w:gridSpan w:val="5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D. Tabla de expedientes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14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Cambiar el nombre «Expedientes en suspensión»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Pablo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«Expedientes sin actividad».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15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Filtrar por etapa e incluir los revisados que aún no se han enviado a nómina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Gema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Filtros «Etapa» (con «revisados sin proponer») y «Días sin actuación» (más de 30, 60, 90 o 180). Aviso «valorar desistimiento» en los requerimientos con el plazo vencido.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16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Columna «Meses de atraso» con la mensualidad de cada expediente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Pablo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Atrasos ÷ mensualidad del expediente: con gemelos, 1.000 €; con trillizos, 1.500 €.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7"/>
                <w:szCs w:val="17"/>
              </w:rPr>
              <w:t xml:space="preserve">Nuevo en el mockup</w:t>
            </w:r>
          </w:p>
        </w:tc>
      </w:tr>
      <w:tr>
        <w:trPr>
          <w:cantSplit/>
        </w:trPr>
        <w:tc>
          <w:tcPr>
            <w:tcW w:type="dxa" w:w="9638"/>
            <w:gridSpan w:val="5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E. Alcance y otros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17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Dejar por escrito el alcance de esta fase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Mila y Enrique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Recogido en el documento de propuesta: cuadro de dirección, este cuadro de supervisión e informes a medida.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3F4FB8"/>
                <w:sz w:val="17"/>
                <w:szCs w:val="17"/>
              </w:rPr>
              <w:t xml:space="preserve">Fuera del cuadro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18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Usar los mismos nombres que los cuadros de dirección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Enrique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Falta recibir los nombres de los cuadros de dirección.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DECE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B42318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0A1F44"/>
                <w:sz w:val="17"/>
                <w:szCs w:val="17"/>
              </w:rPr>
              <w:t xml:space="preserve">19</w:t>
            </w:r>
          </w:p>
        </w:tc>
        <w:tc>
          <w:tcPr>
            <w:tcW w:type="dxa" w:w="2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Automatizar la propuesta a nómina</w:t>
            </w:r>
          </w:p>
        </w:tc>
        <w:tc>
          <w:tcPr>
            <w:tcW w:type="dxa" w:w="125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Gema (por correo)</w:t>
            </w:r>
          </w:p>
        </w:tc>
        <w:tc>
          <w:tcPr>
            <w:tcW w:type="dxa" w:w="346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7"/>
                <w:szCs w:val="17"/>
              </w:rPr>
              <w:t xml:space="preserve">Queda anotado como posible siguiente paso.</w:t>
            </w:r>
          </w:p>
        </w:tc>
        <w:tc>
          <w:tcPr>
            <w:tcW w:type="dxa" w:w="17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3F4FB8"/>
                <w:sz w:val="17"/>
                <w:szCs w:val="17"/>
              </w:rPr>
              <w:t xml:space="preserve">Fuera del cuadro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3. Lo nuevo, en el mockup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Cabecera</w:t>
      </w:r>
    </w:p>
    <w:p>
      <w:pPr>
        <w:keepNext/>
        <w:spacing w:after="60"/>
      </w:pPr>
      <w:r>
        <w:drawing>
          <wp:inline distT="0" distB="0" distL="0" distR="0">
            <wp:extent cx="6124575" cy="1562100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Cabecera comparada con las mismas fechas del año anterior: la diferencia sale en volumen, tramitación y tiempos (1). Se ven también los pendientes de resolver en tres grupos (2), los reprocesos (3), las beneficiarias que han dejado de cobrar (4), los pagos únicos (5) y el importe ejecutado (6).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Gestión económica</w:t>
      </w:r>
    </w:p>
    <w:p>
      <w:pPr>
        <w:keepNext/>
        <w:spacing w:after="60"/>
      </w:pPr>
      <w:r>
        <w:drawing>
          <wp:inline distT="0" distB="0" distL="0" distR="0">
            <wp:extent cx="6124575" cy="2133600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Tabla por anualidad o por línea, con varias a la vez (12), y el bloque «A corto plazo» por anualidad, con «Dispuesto + propuesto» y el margen para nuevas altas (13).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Expedientes sin actividad</w:t>
      </w:r>
    </w:p>
    <w:p>
      <w:pPr>
        <w:keepNext/>
        <w:spacing w:after="60"/>
      </w:pPr>
      <w:r>
        <w:drawing>
          <wp:inline distT="0" distB="0" distL="0" distR="0">
            <wp:extent cx="6124575" cy="200977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La tabla con su nuevo nombre (14), filtrada por los revisados sin proponer y con más de 30 días sin actuación (15), y la columna «Meses de atraso» (16).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4. Además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Los avisos (i) de toda la pantalla son ahora mucho más cortos: dos o tres líneas cada uno (qué es, la cifra de ahora y cómo leerlo).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Todas las cifras cuadran entre sí: cabecera, gráficas, árbol del explorador y tabla, también con filtros.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5. Lo que falta para cerrar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1900"/>
        <w:gridCol w:w="3438"/>
      </w:tblGrid>
      <w:tr>
        <w:trPr>
          <w:cantSplit/>
          <w:tblHeader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Quién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Decidir dónde se registra la revisión de conformidad: la etapa «Propuesta favorable» o una marca con su fecha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Gema y Mila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Contar con datos reales los revisados sin proponer (2)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Etapas y actividades reales de Atlantix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Mila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Rehacer el detalle de cada etapa (8), en la fase 2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Tipo de documento contable de los pagos únicos y si llevan expediente o DNI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Pablo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Separar los dos tipos de pago único (5)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Nombres de los indicadores de los cuadros de dirección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Enrique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Usar los mismos nombres (18)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Confirmar que Celonis permite comparar dos periodos como en el mockup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Andrés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Decidir si la comparativa entra (1)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Respuestas pendientes al Excel de datos necesarios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Eficiencia (Madrid Digital)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Calcular con datos reales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6. Próximos pasos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Javi envía el documento de propuesta y el mockup el jueves 5/11.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La unidad necesita 2 o 3 días para revisarlo.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Sesión de validación la semana siguiente. Los miércoles no le van bien a Mila.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Peticiones de la sesión del 27/10 · Ayudas a la natalidad · 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F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A1F4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A1F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1b8c320331238ccfab5ae1662a18fd31bb5dbbd.png"/><Relationship Id="rId9" Type="http://schemas.openxmlformats.org/officeDocument/2006/relationships/image" Target="media/c2b29ef22955615c0c50054cc7246ee74bf36ab4.png"/><Relationship Id="rId10" Type="http://schemas.openxmlformats.org/officeDocument/2006/relationships/image" Target="media/d56f8df03a12a407909cf96eb19d24fec0eba2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Peticiones de la sesión del 27/10 · Ayudas a la natalidad</dc:title>
  <dc:creator>NTT DATA</dc:creator>
  <cp:lastModifiedBy>Un-named</cp:lastModifiedBy>
  <cp:revision>1</cp:revision>
  <dcterms:created xsi:type="dcterms:W3CDTF">2026-10-30T10:20:18.382Z</dcterms:created>
  <dcterms:modified xsi:type="dcterms:W3CDTF">2026-10-30T10:20:18.388Z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