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A1F44"/>
          <w:sz w:val="40"/>
          <w:szCs w:val="40"/>
        </w:rPr>
        <w:t xml:space="preserve">Peticiones de la sesión del 27/10 y cambios en el mockup</w:t>
      </w:r>
    </w:p>
    <w:p>
      <w:pPr>
        <w:spacing w:after="60"/>
      </w:pPr>
      <w:r>
        <w:rPr>
          <w:rFonts w:ascii="Arial" w:cs="Arial" w:eastAsia="Arial" w:hAnsi="Arial"/>
          <w:color w:val="595959"/>
          <w:sz w:val="24"/>
          <w:szCs w:val="24"/>
        </w:rPr>
        <w:t xml:space="preserve">Ayudas por gestación, nacimiento o adopción · Cuadro de seguimiento del proceso</w:t>
      </w:r>
    </w:p>
    <w:p>
      <w:pPr>
        <w:pBdr>
          <w:bottom w:val="single" w:color="0A1F44" w:sz="8" w:space="6"/>
        </w:pBdr>
        <w:spacing w:after="240"/>
      </w:pPr>
      <w:r>
        <w:rPr>
          <w:rFonts w:ascii="Arial" w:cs="Arial" w:eastAsia="Arial" w:hAnsi="Arial"/>
          <w:color w:val="595959"/>
          <w:sz w:val="18"/>
          <w:szCs w:val="18"/>
        </w:rPr>
        <w:t xml:space="preserve">Reunión de revisión de pantallas del 27/10/2026 · Mockup de referencia: versión 24 · 30/10/2026</w:t>
      </w:r>
    </w:p>
    <w:p>
      <w:pPr>
        <w:pBdr>
          <w:left w:val="single" w:color="E3A008" w:sz="18" w:space="8"/>
        </w:pBdr>
        <w:shd w:fill="FFF8E1" w:color="auto" w:val="clear"/>
        <w:spacing w:after="200" w:before="0" w:line="276"/>
        <w:ind w:left="140" w:right="140"/>
      </w:pPr>
      <w:r>
        <w:rPr>
          <w:rFonts w:ascii="Arial" w:cs="Arial" w:eastAsia="Arial" w:hAnsi="Arial"/>
          <w:b/>
          <w:bCs/>
          <w:color w:val="0A1F44"/>
        </w:rPr>
        <w:t xml:space="preserve">Importante:</w:t>
      </w:r>
      <w:r>
        <w:rPr>
          <w:rFonts w:ascii="Arial" w:cs="Arial" w:eastAsia="Arial" w:hAnsi="Arial"/>
          <w:color w:val="0A1F44"/>
        </w:rPr>
        <w:t xml:space="preserve"> las cifras de las capturas son del mockup y son ficticias.</w:t>
      </w:r>
    </w:p>
    <w:p>
      <w:pPr>
        <w:pStyle w:val="Heading1"/>
        <w:keepNext/>
        <w:spacing w:after="140" w:before="320"/>
      </w:pPr>
      <w:r>
        <w:rPr>
          <w:rFonts w:ascii="Arial" w:cs="Arial" w:eastAsia="Arial" w:hAnsi="Arial"/>
        </w:rPr>
        <w:t xml:space="preserve">1. Resumen</w:t>
      </w:r>
    </w:p>
    <w:p>
      <w:pPr>
        <w:spacing w:after="120" w:before="0" w:line="276"/>
      </w:pPr>
      <w:r>
        <w:rPr>
          <w:rFonts w:ascii="Arial" w:cs="Arial" w:eastAsia="Arial" w:hAnsi="Arial"/>
          <w:color w:val="0A1F44"/>
        </w:rPr>
        <w:t xml:space="preserve">En la sesión del 27/10 la unidad hizo </w:t>
      </w:r>
      <w:r>
        <w:rPr>
          <w:rFonts w:ascii="Arial" w:cs="Arial" w:eastAsia="Arial" w:hAnsi="Arial"/>
          <w:b/>
          <w:bCs/>
          <w:color w:val="0A1F44"/>
        </w:rPr>
        <w:t xml:space="preserve">19 peticiones</w:t>
      </w:r>
      <w:r>
        <w:rPr>
          <w:rFonts w:ascii="Arial" w:cs="Arial" w:eastAsia="Arial" w:hAnsi="Arial"/>
          <w:color w:val="0A1F44"/>
        </w:rPr>
        <w:t xml:space="preserve"> sobre el cuadro. Así quedan en el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4738"/>
      </w:tblGrid>
      <w:tr>
        <w:trPr>
          <w:cantSplit/>
          <w:tblHeader/>
        </w:trPr>
        <w:tc>
          <w:tcPr>
            <w:tcW w:type="dxa" w:w="36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Cómo queda</w:t>
            </w:r>
          </w:p>
        </w:tc>
        <w:tc>
          <w:tcPr>
            <w:tcW w:type="dxa" w:w="13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Cuántas</w:t>
            </w:r>
          </w:p>
        </w:tc>
        <w:tc>
          <w:tcPr>
            <w:tcW w:type="dxa" w:w="4738"/>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Cuáles</w:t>
            </w:r>
          </w:p>
        </w:tc>
      </w:tr>
      <w:tr>
        <w:trPr>
          <w:cantSplit/>
        </w:trPr>
        <w:tc>
          <w:tcPr>
            <w:tcW w:type="dxa" w:w="36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8"/>
                <w:szCs w:val="18"/>
              </w:rPr>
              <w:t xml:space="preserve">Nuevo en el mockup</w:t>
            </w:r>
          </w:p>
        </w:tc>
        <w:tc>
          <w:tcPr>
            <w:tcW w:type="dxa" w:w="13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8"/>
                <w:szCs w:val="18"/>
              </w:rPr>
              <w:t xml:space="preserve">12</w:t>
            </w:r>
          </w:p>
        </w:tc>
        <w:tc>
          <w:tcPr>
            <w:tcW w:type="dxa" w:w="47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1, 2, 3, 4, 5, 6, 9, 12, 13, 14, 15 y 16</w:t>
            </w:r>
          </w:p>
        </w:tc>
      </w:tr>
      <w:tr>
        <w:trPr>
          <w:cantSplit/>
        </w:trPr>
        <w:tc>
          <w:tcPr>
            <w:tcW w:type="dxa" w:w="36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b/>
                <w:bCs/>
                <w:color w:val="595959"/>
                <w:sz w:val="18"/>
                <w:szCs w:val="18"/>
              </w:rPr>
              <w:t xml:space="preserve">Sin cambios, por acuerdo</w:t>
            </w:r>
          </w:p>
        </w:tc>
        <w:tc>
          <w:tcPr>
            <w:tcW w:type="dxa" w:w="13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8"/>
                <w:szCs w:val="18"/>
              </w:rPr>
              <w:t xml:space="preserve">2</w:t>
            </w:r>
          </w:p>
        </w:tc>
        <w:tc>
          <w:tcPr>
            <w:tcW w:type="dxa" w:w="47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7 y 11</w:t>
            </w:r>
          </w:p>
        </w:tc>
      </w:tr>
      <w:tr>
        <w:trPr>
          <w:cantSplit/>
        </w:trPr>
        <w:tc>
          <w:tcPr>
            <w:tcW w:type="dxa" w:w="3600"/>
            <w:tcBorders>
              <w:top w:val="single" w:color="D3D3DD" w:sz="4"/>
              <w:left w:val="single" w:color="D3D3DD" w:sz="4"/>
              <w:bottom w:val="single" w:color="D3D3DD" w:sz="4"/>
              <w:right w:val="single" w:color="D3D3DD"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b/>
                <w:bCs/>
                <w:color w:val="9A5B00"/>
                <w:sz w:val="18"/>
                <w:szCs w:val="18"/>
              </w:rPr>
              <w:t xml:space="preserve">Fase 2</w:t>
            </w:r>
          </w:p>
        </w:tc>
        <w:tc>
          <w:tcPr>
            <w:tcW w:type="dxa" w:w="13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8"/>
                <w:szCs w:val="18"/>
              </w:rPr>
              <w:t xml:space="preserve">1</w:t>
            </w:r>
          </w:p>
        </w:tc>
        <w:tc>
          <w:tcPr>
            <w:tcW w:type="dxa" w:w="47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8</w:t>
            </w:r>
          </w:p>
        </w:tc>
      </w:tr>
      <w:tr>
        <w:trPr>
          <w:cantSplit/>
        </w:trPr>
        <w:tc>
          <w:tcPr>
            <w:tcW w:type="dxa" w:w="3600"/>
            <w:tcBorders>
              <w:top w:val="single" w:color="D3D3DD" w:sz="4"/>
              <w:left w:val="single" w:color="D3D3DD" w:sz="4"/>
              <w:bottom w:val="single" w:color="D3D3DD" w:sz="4"/>
              <w:right w:val="single" w:color="D3D3DD" w:sz="4"/>
            </w:tcBorders>
            <w:shd w:fill="EEF0FB" w:color="auto" w:val="clear"/>
            <w:tcMar>
              <w:top w:type="dxa" w:w="70"/>
              <w:left w:type="dxa" w:w="100"/>
              <w:bottom w:type="dxa" w:w="70"/>
              <w:right w:type="dxa" w:w="100"/>
            </w:tcMar>
            <w:vAlign w:val="top"/>
          </w:tcPr>
          <w:p>
            <w:pPr>
              <w:spacing w:after="40" w:line="252"/>
            </w:pPr>
            <w:r>
              <w:rPr>
                <w:rFonts w:ascii="Arial" w:cs="Arial" w:eastAsia="Arial" w:hAnsi="Arial"/>
                <w:b/>
                <w:bCs/>
                <w:color w:val="3F4FB8"/>
                <w:sz w:val="18"/>
                <w:szCs w:val="18"/>
              </w:rPr>
              <w:t xml:space="preserve">Fuera del cuadro</w:t>
            </w:r>
          </w:p>
        </w:tc>
        <w:tc>
          <w:tcPr>
            <w:tcW w:type="dxa" w:w="13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8"/>
                <w:szCs w:val="18"/>
              </w:rPr>
              <w:t xml:space="preserve">3</w:t>
            </w:r>
          </w:p>
        </w:tc>
        <w:tc>
          <w:tcPr>
            <w:tcW w:type="dxa" w:w="47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10, 17 y 19</w:t>
            </w:r>
          </w:p>
        </w:tc>
      </w:tr>
      <w:tr>
        <w:trPr>
          <w:cantSplit/>
        </w:trPr>
        <w:tc>
          <w:tcPr>
            <w:tcW w:type="dxa" w:w="3600"/>
            <w:tcBorders>
              <w:top w:val="single" w:color="D3D3DD" w:sz="4"/>
              <w:left w:val="single" w:color="D3D3DD" w:sz="4"/>
              <w:bottom w:val="single" w:color="D3D3DD" w:sz="4"/>
              <w:right w:val="single" w:color="D3D3DD" w:sz="4"/>
            </w:tcBorders>
            <w:shd w:fill="FDECEC" w:color="auto" w:val="clear"/>
            <w:tcMar>
              <w:top w:type="dxa" w:w="70"/>
              <w:left w:type="dxa" w:w="100"/>
              <w:bottom w:type="dxa" w:w="70"/>
              <w:right w:type="dxa" w:w="100"/>
            </w:tcMar>
            <w:vAlign w:val="top"/>
          </w:tcPr>
          <w:p>
            <w:pPr>
              <w:spacing w:after="40" w:line="252"/>
            </w:pPr>
            <w:r>
              <w:rPr>
                <w:rFonts w:ascii="Arial" w:cs="Arial" w:eastAsia="Arial" w:hAnsi="Arial"/>
                <w:b/>
                <w:bCs/>
                <w:color w:val="B42318"/>
                <w:sz w:val="18"/>
                <w:szCs w:val="18"/>
              </w:rPr>
              <w:t xml:space="preserve">Pendiente</w:t>
            </w:r>
          </w:p>
        </w:tc>
        <w:tc>
          <w:tcPr>
            <w:tcW w:type="dxa" w:w="13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8"/>
                <w:szCs w:val="18"/>
              </w:rPr>
              <w:t xml:space="preserve">1</w:t>
            </w:r>
          </w:p>
        </w:tc>
        <w:tc>
          <w:tcPr>
            <w:tcW w:type="dxa" w:w="47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18</w:t>
            </w:r>
          </w:p>
        </w:tc>
      </w:tr>
    </w:tbl>
    <w:p>
      <w:pPr>
        <w:spacing w:after="120" w:before="0" w:line="276"/>
      </w:pPr>
    </w:p>
    <w:p>
      <w:pPr>
        <w:pBdr>
          <w:left w:val="single" w:color="3F4FB8" w:sz="18" w:space="8"/>
        </w:pBdr>
        <w:shd w:fill="EEF0FB" w:color="auto" w:val="clear"/>
        <w:spacing w:after="200" w:before="0" w:line="276"/>
        <w:ind w:left="140" w:right="140"/>
      </w:pPr>
      <w:r>
        <w:rPr>
          <w:rFonts w:ascii="Arial" w:cs="Arial" w:eastAsia="Arial" w:hAnsi="Arial"/>
          <w:color w:val="0A1F44"/>
        </w:rPr>
        <w:t xml:space="preserve">La </w:t>
      </w:r>
      <w:r>
        <w:rPr>
          <w:rFonts w:ascii="Arial" w:cs="Arial" w:eastAsia="Arial" w:hAnsi="Arial"/>
          <w:b/>
          <w:bCs/>
          <w:color w:val="0A1F44"/>
        </w:rPr>
        <w:t xml:space="preserve">comparativa de periodos (1)</w:t>
      </w:r>
      <w:r>
        <w:rPr>
          <w:rFonts w:ascii="Arial" w:cs="Arial" w:eastAsia="Arial" w:hAnsi="Arial"/>
          <w:color w:val="0A1F44"/>
        </w:rPr>
        <w:t xml:space="preserve"> ya está en el mockup, pero se propone para la </w:t>
      </w:r>
      <w:r>
        <w:rPr>
          <w:rFonts w:ascii="Arial" w:cs="Arial" w:eastAsia="Arial" w:hAnsi="Arial"/>
          <w:b/>
          <w:bCs/>
          <w:color w:val="0A1F44"/>
        </w:rPr>
        <w:t xml:space="preserve">fase 2</w:t>
      </w:r>
      <w:r>
        <w:rPr>
          <w:rFonts w:ascii="Arial" w:cs="Arial" w:eastAsia="Arial" w:hAnsi="Arial"/>
          <w:color w:val="0A1F44"/>
        </w:rPr>
        <w:t xml:space="preserve"> hasta confirmar que Celonis la permite. Lo mismo pasa con el </w:t>
      </w:r>
      <w:r>
        <w:rPr>
          <w:rFonts w:ascii="Arial" w:cs="Arial" w:eastAsia="Arial" w:hAnsi="Arial"/>
          <w:b/>
          <w:bCs/>
          <w:color w:val="0A1F44"/>
        </w:rPr>
        <w:t xml:space="preserve">detalle de cada etapa (8)</w:t>
      </w:r>
      <w:r>
        <w:rPr>
          <w:rFonts w:ascii="Arial" w:cs="Arial" w:eastAsia="Arial" w:hAnsi="Arial"/>
          <w:color w:val="0A1F44"/>
        </w:rPr>
        <w:t xml:space="preserve">, que depende de las etapas y actividades reales de Atlantix.</w:t>
      </w:r>
    </w:p>
    <w:p>
      <w:pPr>
        <w:pStyle w:val="Heading1"/>
        <w:keepNext/>
        <w:spacing w:after="140" w:before="320"/>
      </w:pPr>
      <w:r>
        <w:rPr>
          <w:rFonts w:ascii="Arial" w:cs="Arial" w:eastAsia="Arial" w:hAnsi="Arial"/>
        </w:rPr>
        <w:t xml:space="preserve">2. Todas las peticiones</w:t>
      </w:r>
    </w:p>
    <w:p>
      <w:pPr>
        <w:spacing w:after="120" w:before="0" w:line="276"/>
      </w:pPr>
      <w:r>
        <w:rPr>
          <w:rFonts w:ascii="Arial" w:cs="Arial" w:eastAsia="Arial" w:hAnsi="Arial"/>
          <w:color w:val="0A1F44"/>
        </w:rPr>
        <w:t xml:space="preserve">Ordenadas por la zona de la pantalla a la que se refieren. «Quién» es quien lo pidió en la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700"/>
        <w:gridCol w:w="1250"/>
        <w:gridCol w:w="3468"/>
        <w:gridCol w:w="1700"/>
      </w:tblGrid>
      <w:tr>
        <w:trPr>
          <w:cantSplit/>
          <w:tblHeader/>
        </w:trPr>
        <w:tc>
          <w:tcPr>
            <w:tcW w:type="dxa" w:w="52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Nº</w:t>
            </w:r>
          </w:p>
        </w:tc>
        <w:tc>
          <w:tcPr>
            <w:tcW w:type="dxa" w:w="27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Petición</w:t>
            </w:r>
          </w:p>
        </w:tc>
        <w:tc>
          <w:tcPr>
            <w:tcW w:type="dxa" w:w="125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Quién</w:t>
            </w:r>
          </w:p>
        </w:tc>
        <w:tc>
          <w:tcPr>
            <w:tcW w:type="dxa" w:w="3468"/>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Qué hay en el mockup</w:t>
            </w:r>
          </w:p>
        </w:tc>
        <w:tc>
          <w:tcPr>
            <w:tcW w:type="dxa" w:w="17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Cómo queda</w:t>
            </w:r>
          </w:p>
        </w:tc>
      </w:tr>
      <w:tr>
        <w:trPr>
          <w:cantSplit/>
        </w:trPr>
        <w:tc>
          <w:tcPr>
            <w:tcW w:type="dxa" w:w="9638"/>
            <w:gridSpan w:val="5"/>
            <w:tcBorders>
              <w:top w:val="single" w:color="D3D3DD" w:sz="4"/>
              <w:left w:val="single" w:color="D3D3DD" w:sz="4"/>
              <w:bottom w:val="single" w:color="D3D3DD" w:sz="4"/>
              <w:right w:val="single" w:color="D3D3DD" w:sz="4"/>
            </w:tcBorders>
            <w:shd w:fill="E6E9F2" w:color="auto" w:val="clear"/>
            <w:tcMar>
              <w:top w:type="dxa" w:w="70"/>
              <w:left w:type="dxa" w:w="100"/>
              <w:bottom w:type="dxa" w:w="70"/>
              <w:right w:type="dxa" w:w="100"/>
            </w:tcMar>
            <w:vAlign w:val="top"/>
          </w:tcPr>
          <w:p>
            <w:pPr>
              <w:spacing w:after="40" w:line="252"/>
            </w:pPr>
            <w:r>
              <w:rPr>
                <w:rFonts w:ascii="Arial" w:cs="Arial" w:eastAsia="Arial" w:hAnsi="Arial"/>
                <w:b/>
                <w:bCs/>
                <w:color w:val="0A1F44"/>
                <w:sz w:val="17"/>
                <w:szCs w:val="17"/>
              </w:rPr>
              <w:t xml:space="preserve">A. Filtros y cabecera</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Comparar dos periodos y ver la diferencia en número y en %, sin hacer cuentas</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Gema, Cristina y Mila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Filtro «Comparar con»: periodo anterior, mismas fechas del año anterior u otro periodo. Debajo de cada indicador sale la diferencia en número y en %. Pestaña «Comparativa de periodos», exportable a Excel.</w:t>
            </w:r>
          </w:p>
        </w:tc>
        <w:tc>
          <w:tcPr>
            <w:tcW w:type="dxa" w:w="1700"/>
            <w:tcBorders>
              <w:top w:val="single" w:color="D3D3DD" w:sz="4"/>
              <w:left w:val="single" w:color="D3D3DD" w:sz="4"/>
              <w:bottom w:val="single" w:color="D3D3DD" w:sz="4"/>
              <w:right w:val="single" w:color="D3D3DD"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b/>
                <w:bCs/>
                <w:color w:val="9A5B00"/>
                <w:sz w:val="17"/>
                <w:szCs w:val="17"/>
              </w:rPr>
              <w:t xml:space="preserve">Nuevo · se propone para la fase 2</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2</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Ver aparte, dentro de los pendientes de resolver, los revisados de conformidad que aún no se han propuesto a nómina</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 y Gema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«Expedientes pendientes de resolver» se divide en tres: en revisión, </w:t>
            </w:r>
            <w:r>
              <w:rPr>
                <w:rFonts w:ascii="Arial" w:cs="Arial" w:eastAsia="Arial" w:hAnsi="Arial"/>
                <w:b/>
                <w:bCs/>
                <w:color w:val="0A1F44"/>
                <w:sz w:val="17"/>
                <w:szCs w:val="17"/>
              </w:rPr>
              <w:t xml:space="preserve">revisados sin proponer</w:t>
            </w:r>
            <w:r>
              <w:rPr>
                <w:rFonts w:ascii="Arial" w:cs="Arial" w:eastAsia="Arial" w:hAnsi="Arial"/>
                <w:color w:val="0A1F44"/>
                <w:sz w:val="17"/>
                <w:szCs w:val="17"/>
              </w:rPr>
              <w:t xml:space="preserve"> (destacado) y ya propuestos. Al pasar el ratón, lo que costaría proponerlos todos en la próxima nómina; al pulsar, la lista.</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3</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Retrabajo con número de expedientes, no solo el %, y llamarlo «reprocesos»</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«Expedientes con reprocesos»: número de expedientes y % de los terminados.</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4</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Cambiar «Beneficiarias inactivas» y sumar los pagos únicos</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«Beneficiarias que han dejado de cobrar»: bajas, extinciones y pagos únicos.</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5</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Separar los pagos únicos con expediente propio de los que van «por fuera» (rectificación)</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 y Mila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Tarjeta «Pagos únicos»: los de expediente propio y, debajo, los de rectificación.</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6</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Cambiar «Ejecución presupuestaria» por «Importe ejecutado», en euros</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 y Pablo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«Importe ejecutado»: lo pagado en el periodo, en euros y sin %. El % de ejecución y el margen están en «Gestión económica».</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9638"/>
            <w:gridSpan w:val="5"/>
            <w:tcBorders>
              <w:top w:val="single" w:color="D3D3DD" w:sz="4"/>
              <w:left w:val="single" w:color="D3D3DD" w:sz="4"/>
              <w:bottom w:val="single" w:color="D3D3DD" w:sz="4"/>
              <w:right w:val="single" w:color="D3D3DD" w:sz="4"/>
            </w:tcBorders>
            <w:shd w:fill="E6E9F2" w:color="auto" w:val="clear"/>
            <w:tcMar>
              <w:top w:type="dxa" w:w="70"/>
              <w:left w:type="dxa" w:w="100"/>
              <w:bottom w:type="dxa" w:w="70"/>
              <w:right w:type="dxa" w:w="100"/>
            </w:tcMar>
            <w:vAlign w:val="top"/>
          </w:tcPr>
          <w:p>
            <w:pPr>
              <w:spacing w:after="40" w:line="252"/>
            </w:pPr>
            <w:r>
              <w:rPr>
                <w:rFonts w:ascii="Arial" w:cs="Arial" w:eastAsia="Arial" w:hAnsi="Arial"/>
                <w:b/>
                <w:bCs/>
                <w:color w:val="0A1F44"/>
                <w:sz w:val="17"/>
                <w:szCs w:val="17"/>
              </w:rPr>
              <w:t xml:space="preserve">B. Gráficas</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7</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«Tiempo y expedientes por fase»: dejar claro qué cuenta cada columna</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Gema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La gráfica no cambia: la columna gris son los pendientes de alta y las azules, las etapas de Atlantix. El aviso (i) lo explica.</w:t>
            </w:r>
          </w:p>
        </w:tc>
        <w:tc>
          <w:tcPr>
            <w:tcW w:type="dxa" w:w="17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b/>
                <w:bCs/>
                <w:color w:val="595959"/>
                <w:sz w:val="17"/>
                <w:szCs w:val="17"/>
              </w:rPr>
              <w:t xml:space="preserve">Sin cambios, por acuerdo</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8</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«Detalle de la fase»: rehacerlo con las etapas y actividades reales de Atlantix</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 y Javi</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Se queda ilustrativo hasta tener las etapas y actividades reales.</w:t>
            </w:r>
          </w:p>
        </w:tc>
        <w:tc>
          <w:tcPr>
            <w:tcW w:type="dxa" w:w="1700"/>
            <w:tcBorders>
              <w:top w:val="single" w:color="D3D3DD" w:sz="4"/>
              <w:left w:val="single" w:color="D3D3DD" w:sz="4"/>
              <w:bottom w:val="single" w:color="D3D3DD" w:sz="4"/>
              <w:right w:val="single" w:color="D3D3DD"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b/>
                <w:bCs/>
                <w:color w:val="9A5B00"/>
                <w:sz w:val="17"/>
                <w:szCs w:val="17"/>
              </w:rPr>
              <w:t xml:space="preserve">Fase 2</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9</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«Entradas, salidas y stock»: explicar por qué un mes tiene más altas que solicitudes recibidas</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Gema y Cristina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El aviso y el detalle de cada mes explican que también se dan de alta solicitudes de meses anteriores, y cuántas.</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10</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Antigüedad de lo tramitado: de qué mes son las solicitudes de cada remesa y cuántos meses de atraso llevan</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 y Enrique</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Es un informe a medida, no un indicador del cuadro. La tabla de expedientes sin actividad ya da los meses de atraso de cada expediente.</w:t>
            </w:r>
          </w:p>
        </w:tc>
        <w:tc>
          <w:tcPr>
            <w:tcW w:type="dxa" w:w="1700"/>
            <w:tcBorders>
              <w:top w:val="single" w:color="D3D3DD" w:sz="4"/>
              <w:left w:val="single" w:color="D3D3DD" w:sz="4"/>
              <w:bottom w:val="single" w:color="D3D3DD" w:sz="4"/>
              <w:right w:val="single" w:color="D3D3DD" w:sz="4"/>
            </w:tcBorders>
            <w:shd w:fill="EEF0FB" w:color="auto" w:val="clear"/>
            <w:tcMar>
              <w:top w:type="dxa" w:w="70"/>
              <w:left w:type="dxa" w:w="100"/>
              <w:bottom w:type="dxa" w:w="70"/>
              <w:right w:type="dxa" w:w="100"/>
            </w:tcMar>
            <w:vAlign w:val="top"/>
          </w:tcPr>
          <w:p>
            <w:pPr>
              <w:spacing w:after="40" w:line="252"/>
            </w:pPr>
            <w:r>
              <w:rPr>
                <w:rFonts w:ascii="Arial" w:cs="Arial" w:eastAsia="Arial" w:hAnsi="Arial"/>
                <w:b/>
                <w:bCs/>
                <w:color w:val="3F4FB8"/>
                <w:sz w:val="17"/>
                <w:szCs w:val="17"/>
              </w:rPr>
              <w:t xml:space="preserve">Fuera del cuadro</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11</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«Composición»: mantener «Hijos por solicitud»</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La unidad</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Se mantiene.</w:t>
            </w:r>
          </w:p>
        </w:tc>
        <w:tc>
          <w:tcPr>
            <w:tcW w:type="dxa" w:w="17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b/>
                <w:bCs/>
                <w:color w:val="595959"/>
                <w:sz w:val="17"/>
                <w:szCs w:val="17"/>
              </w:rPr>
              <w:t xml:space="preserve">Sin cambios, por acuerdo</w:t>
            </w:r>
          </w:p>
        </w:tc>
      </w:tr>
      <w:tr>
        <w:trPr>
          <w:cantSplit/>
        </w:trPr>
        <w:tc>
          <w:tcPr>
            <w:tcW w:type="dxa" w:w="9638"/>
            <w:gridSpan w:val="5"/>
            <w:tcBorders>
              <w:top w:val="single" w:color="D3D3DD" w:sz="4"/>
              <w:left w:val="single" w:color="D3D3DD" w:sz="4"/>
              <w:bottom w:val="single" w:color="D3D3DD" w:sz="4"/>
              <w:right w:val="single" w:color="D3D3DD" w:sz="4"/>
            </w:tcBorders>
            <w:shd w:fill="E6E9F2" w:color="auto" w:val="clear"/>
            <w:tcMar>
              <w:top w:type="dxa" w:w="70"/>
              <w:left w:type="dxa" w:w="100"/>
              <w:bottom w:type="dxa" w:w="70"/>
              <w:right w:type="dxa" w:w="100"/>
            </w:tcMar>
            <w:vAlign w:val="top"/>
          </w:tcPr>
          <w:p>
            <w:pPr>
              <w:spacing w:after="40" w:line="252"/>
            </w:pPr>
            <w:r>
              <w:rPr>
                <w:rFonts w:ascii="Arial" w:cs="Arial" w:eastAsia="Arial" w:hAnsi="Arial"/>
                <w:b/>
                <w:bCs/>
                <w:color w:val="0A1F44"/>
                <w:sz w:val="17"/>
                <w:szCs w:val="17"/>
              </w:rPr>
              <w:t xml:space="preserve">C. Gestión económica</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12</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Ver la tabla por línea o por anualidad, eligiendo varias a la vez</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«Por anualidad» o «Por línea», con selección de varias líneas y anualidades. Cada grupo lleva su subtotal y hay un total de lo elegido.</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13</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«A corto plazo»: por anualidad, «Dispuesto + propuesto» en lugar de «Cierre previsto» y el corte de lo propuesto</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 y Gema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Tabla por anualidad con dispuesto, propuesto sin D, dispuesto + propuesto, % y margen; cuántas altas más caben y qué anualidad lo limita. Lo propuesto incluye lo que está en la Intervención.</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9638"/>
            <w:gridSpan w:val="5"/>
            <w:tcBorders>
              <w:top w:val="single" w:color="D3D3DD" w:sz="4"/>
              <w:left w:val="single" w:color="D3D3DD" w:sz="4"/>
              <w:bottom w:val="single" w:color="D3D3DD" w:sz="4"/>
              <w:right w:val="single" w:color="D3D3DD" w:sz="4"/>
            </w:tcBorders>
            <w:shd w:fill="E6E9F2" w:color="auto" w:val="clear"/>
            <w:tcMar>
              <w:top w:type="dxa" w:w="70"/>
              <w:left w:type="dxa" w:w="100"/>
              <w:bottom w:type="dxa" w:w="70"/>
              <w:right w:type="dxa" w:w="100"/>
            </w:tcMar>
            <w:vAlign w:val="top"/>
          </w:tcPr>
          <w:p>
            <w:pPr>
              <w:spacing w:after="40" w:line="252"/>
            </w:pPr>
            <w:r>
              <w:rPr>
                <w:rFonts w:ascii="Arial" w:cs="Arial" w:eastAsia="Arial" w:hAnsi="Arial"/>
                <w:b/>
                <w:bCs/>
                <w:color w:val="0A1F44"/>
                <w:sz w:val="17"/>
                <w:szCs w:val="17"/>
              </w:rPr>
              <w:t xml:space="preserve">D. Tabla de expedientes</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14</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Cambiar el nombre «Expedientes en suspensión»</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«Expedientes sin actividad».</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15</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Filtrar por etapa e incluir los revisados que aún no se han enviado a nómina</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Gema</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Filtros «Etapa» (con «revisados sin proponer») y «Días sin actuación» (más de 30, 60, 90 o 180). Aviso «valorar desistimiento» en los requerimientos con el plazo vencido.</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16</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Columna «Meses de atraso» con la mensualidad de cada expediente</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Pablo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Atrasos ÷ mensualidad del expediente: con gemelos, 1.000 €; con trillizos, 1.500 €.</w:t>
            </w:r>
          </w:p>
        </w:tc>
        <w:tc>
          <w:tcPr>
            <w:tcW w:type="dxa" w:w="1700"/>
            <w:tcBorders>
              <w:top w:val="single" w:color="D3D3DD" w:sz="4"/>
              <w:left w:val="single" w:color="D3D3DD" w:sz="4"/>
              <w:bottom w:val="single" w:color="D3D3DD" w:sz="4"/>
              <w:right w:val="single" w:color="D3D3DD" w:sz="4"/>
            </w:tcBorders>
            <w:shd w:fill="E3F1EE" w:color="auto" w:val="clear"/>
            <w:tcMar>
              <w:top w:type="dxa" w:w="70"/>
              <w:left w:type="dxa" w:w="100"/>
              <w:bottom w:type="dxa" w:w="70"/>
              <w:right w:type="dxa" w:w="100"/>
            </w:tcMar>
            <w:vAlign w:val="top"/>
          </w:tcPr>
          <w:p>
            <w:pPr>
              <w:spacing w:after="40" w:line="252"/>
            </w:pPr>
            <w:r>
              <w:rPr>
                <w:rFonts w:ascii="Arial" w:cs="Arial" w:eastAsia="Arial" w:hAnsi="Arial"/>
                <w:b/>
                <w:bCs/>
                <w:color w:val="005B60"/>
                <w:sz w:val="17"/>
                <w:szCs w:val="17"/>
              </w:rPr>
              <w:t xml:space="preserve">Nuevo en el mockup</w:t>
            </w:r>
          </w:p>
        </w:tc>
      </w:tr>
      <w:tr>
        <w:trPr>
          <w:cantSplit/>
        </w:trPr>
        <w:tc>
          <w:tcPr>
            <w:tcW w:type="dxa" w:w="9638"/>
            <w:gridSpan w:val="5"/>
            <w:tcBorders>
              <w:top w:val="single" w:color="D3D3DD" w:sz="4"/>
              <w:left w:val="single" w:color="D3D3DD" w:sz="4"/>
              <w:bottom w:val="single" w:color="D3D3DD" w:sz="4"/>
              <w:right w:val="single" w:color="D3D3DD" w:sz="4"/>
            </w:tcBorders>
            <w:shd w:fill="E6E9F2" w:color="auto" w:val="clear"/>
            <w:tcMar>
              <w:top w:type="dxa" w:w="70"/>
              <w:left w:type="dxa" w:w="100"/>
              <w:bottom w:type="dxa" w:w="70"/>
              <w:right w:type="dxa" w:w="100"/>
            </w:tcMar>
            <w:vAlign w:val="top"/>
          </w:tcPr>
          <w:p>
            <w:pPr>
              <w:spacing w:after="40" w:line="252"/>
            </w:pPr>
            <w:r>
              <w:rPr>
                <w:rFonts w:ascii="Arial" w:cs="Arial" w:eastAsia="Arial" w:hAnsi="Arial"/>
                <w:b/>
                <w:bCs/>
                <w:color w:val="0A1F44"/>
                <w:sz w:val="17"/>
                <w:szCs w:val="17"/>
              </w:rPr>
              <w:t xml:space="preserve">E. Alcance y otros</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17</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Dejar por escrito el alcance de esta fase</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Mila y Enrique</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Recogido en el documento de propuesta: cuadro de dirección, este cuadro de supervisión e informes a medida.</w:t>
            </w:r>
          </w:p>
        </w:tc>
        <w:tc>
          <w:tcPr>
            <w:tcW w:type="dxa" w:w="1700"/>
            <w:tcBorders>
              <w:top w:val="single" w:color="D3D3DD" w:sz="4"/>
              <w:left w:val="single" w:color="D3D3DD" w:sz="4"/>
              <w:bottom w:val="single" w:color="D3D3DD" w:sz="4"/>
              <w:right w:val="single" w:color="D3D3DD" w:sz="4"/>
            </w:tcBorders>
            <w:shd w:fill="EEF0FB" w:color="auto" w:val="clear"/>
            <w:tcMar>
              <w:top w:type="dxa" w:w="70"/>
              <w:left w:type="dxa" w:w="100"/>
              <w:bottom w:type="dxa" w:w="70"/>
              <w:right w:type="dxa" w:w="100"/>
            </w:tcMar>
            <w:vAlign w:val="top"/>
          </w:tcPr>
          <w:p>
            <w:pPr>
              <w:spacing w:after="40" w:line="252"/>
            </w:pPr>
            <w:r>
              <w:rPr>
                <w:rFonts w:ascii="Arial" w:cs="Arial" w:eastAsia="Arial" w:hAnsi="Arial"/>
                <w:b/>
                <w:bCs/>
                <w:color w:val="3F4FB8"/>
                <w:sz w:val="17"/>
                <w:szCs w:val="17"/>
              </w:rPr>
              <w:t xml:space="preserve">Fuera del cuadro</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18</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Usar los mismos nombres que los cuadros de dirección</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Enrique</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Falta recibir los nombres de los cuadros de dirección.</w:t>
            </w:r>
          </w:p>
        </w:tc>
        <w:tc>
          <w:tcPr>
            <w:tcW w:type="dxa" w:w="1700"/>
            <w:tcBorders>
              <w:top w:val="single" w:color="D3D3DD" w:sz="4"/>
              <w:left w:val="single" w:color="D3D3DD" w:sz="4"/>
              <w:bottom w:val="single" w:color="D3D3DD" w:sz="4"/>
              <w:right w:val="single" w:color="D3D3DD" w:sz="4"/>
            </w:tcBorders>
            <w:shd w:fill="FDECEC" w:color="auto" w:val="clear"/>
            <w:tcMar>
              <w:top w:type="dxa" w:w="70"/>
              <w:left w:type="dxa" w:w="100"/>
              <w:bottom w:type="dxa" w:w="70"/>
              <w:right w:type="dxa" w:w="100"/>
            </w:tcMar>
            <w:vAlign w:val="top"/>
          </w:tcPr>
          <w:p>
            <w:pPr>
              <w:spacing w:after="40" w:line="252"/>
            </w:pPr>
            <w:r>
              <w:rPr>
                <w:rFonts w:ascii="Arial" w:cs="Arial" w:eastAsia="Arial" w:hAnsi="Arial"/>
                <w:b/>
                <w:bCs/>
                <w:color w:val="B42318"/>
                <w:sz w:val="17"/>
                <w:szCs w:val="17"/>
              </w:rPr>
              <w:t xml:space="preserve">Pendiente</w:t>
            </w:r>
          </w:p>
        </w:tc>
      </w:tr>
      <w:tr>
        <w:trPr>
          <w:cantSplit/>
        </w:trPr>
        <w:tc>
          <w:tcPr>
            <w:tcW w:type="dxa" w:w="52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jc w:val="center"/>
            </w:pPr>
            <w:r>
              <w:rPr>
                <w:rFonts w:ascii="Arial" w:cs="Arial" w:eastAsia="Arial" w:hAnsi="Arial"/>
                <w:b/>
                <w:bCs/>
                <w:color w:val="0A1F44"/>
                <w:sz w:val="17"/>
                <w:szCs w:val="17"/>
              </w:rPr>
              <w:t xml:space="preserve">19</w:t>
            </w:r>
          </w:p>
        </w:tc>
        <w:tc>
          <w:tcPr>
            <w:tcW w:type="dxa" w:w="27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Automatizar la propuesta a nómina</w:t>
            </w:r>
          </w:p>
        </w:tc>
        <w:tc>
          <w:tcPr>
            <w:tcW w:type="dxa" w:w="125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Gema (por correo)</w:t>
            </w:r>
          </w:p>
        </w:tc>
        <w:tc>
          <w:tcPr>
            <w:tcW w:type="dxa" w:w="346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7"/>
                <w:szCs w:val="17"/>
              </w:rPr>
              <w:t xml:space="preserve">Queda anotado como posible siguiente paso.</w:t>
            </w:r>
          </w:p>
        </w:tc>
        <w:tc>
          <w:tcPr>
            <w:tcW w:type="dxa" w:w="1700"/>
            <w:tcBorders>
              <w:top w:val="single" w:color="D3D3DD" w:sz="4"/>
              <w:left w:val="single" w:color="D3D3DD" w:sz="4"/>
              <w:bottom w:val="single" w:color="D3D3DD" w:sz="4"/>
              <w:right w:val="single" w:color="D3D3DD" w:sz="4"/>
            </w:tcBorders>
            <w:shd w:fill="EEF0FB" w:color="auto" w:val="clear"/>
            <w:tcMar>
              <w:top w:type="dxa" w:w="70"/>
              <w:left w:type="dxa" w:w="100"/>
              <w:bottom w:type="dxa" w:w="70"/>
              <w:right w:type="dxa" w:w="100"/>
            </w:tcMar>
            <w:vAlign w:val="top"/>
          </w:tcPr>
          <w:p>
            <w:pPr>
              <w:spacing w:after="40" w:line="252"/>
            </w:pPr>
            <w:r>
              <w:rPr>
                <w:rFonts w:ascii="Arial" w:cs="Arial" w:eastAsia="Arial" w:hAnsi="Arial"/>
                <w:b/>
                <w:bCs/>
                <w:color w:val="3F4FB8"/>
                <w:sz w:val="17"/>
                <w:szCs w:val="17"/>
              </w:rPr>
              <w:t xml:space="preserve">Fuera del cuadro</w:t>
            </w:r>
          </w:p>
        </w:tc>
      </w:tr>
    </w:tbl>
    <w:p>
      <w:pPr>
        <w:pStyle w:val="Heading1"/>
        <w:keepNext/>
        <w:spacing w:after="140" w:before="320"/>
      </w:pPr>
      <w:r>
        <w:rPr>
          <w:rFonts w:ascii="Arial" w:cs="Arial" w:eastAsia="Arial" w:hAnsi="Arial"/>
        </w:rPr>
        <w:t xml:space="preserve">3. Lo nuevo, en el mockup</w:t>
      </w:r>
    </w:p>
    <w:p>
      <w:pPr>
        <w:pStyle w:val="Heading2"/>
        <w:keepNext/>
        <w:spacing w:after="100" w:before="220"/>
      </w:pPr>
      <w:r>
        <w:rPr>
          <w:rFonts w:ascii="Arial" w:cs="Arial" w:eastAsia="Arial" w:hAnsi="Arial"/>
        </w:rPr>
        <w:t xml:space="preserve">Cabecera</w:t>
      </w:r>
    </w:p>
    <w:p>
      <w:pPr>
        <w:keepNext/>
        <w:spacing w:after="60"/>
      </w:pPr>
      <w:r>
        <w:drawing>
          <wp:inline distT="0" distB="0" distL="0" distR="0">
            <wp:extent cx="6124575" cy="1628775"/>
            <wp:effectExtent t="0" r="0" b="0" l="0"/>
            <wp:docPr id="1" name="captura" descr="Captura del mockup" title="Captura del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1628775"/>
                    </a:xfrm>
                    <a:prstGeom prst="rect">
                      <a:avLst/>
                    </a:prstGeom>
                  </pic:spPr>
                </pic:pic>
              </a:graphicData>
            </a:graphic>
          </wp:inline>
        </w:drawing>
      </w:r>
    </w:p>
    <w:p>
      <w:pPr>
        <w:spacing w:after="220" w:before="0" w:line="276"/>
      </w:pPr>
      <w:r>
        <w:rPr>
          <w:rFonts w:ascii="Arial" w:cs="Arial" w:eastAsia="Arial" w:hAnsi="Arial"/>
          <w:i/>
          <w:iCs/>
          <w:color w:val="595959"/>
          <w:sz w:val="17"/>
          <w:szCs w:val="17"/>
        </w:rPr>
        <w:t xml:space="preserve">Cabecera comparada con las mismas fechas del año anterior. Se ven los pendientes de resolver en tres grupos (2), los reprocesos (3), las beneficiarias que han dejado de cobrar (4), los pagos únicos (5) y el importe ejecutado (6).</w:t>
      </w:r>
    </w:p>
    <w:p>
      <w:pPr>
        <w:pStyle w:val="Heading2"/>
        <w:keepNext/>
        <w:spacing w:after="100" w:before="220"/>
      </w:pPr>
      <w:r>
        <w:rPr>
          <w:rFonts w:ascii="Arial" w:cs="Arial" w:eastAsia="Arial" w:hAnsi="Arial"/>
        </w:rPr>
        <w:t xml:space="preserve">Gestión económica</w:t>
      </w:r>
    </w:p>
    <w:p>
      <w:pPr>
        <w:keepNext/>
        <w:spacing w:after="60"/>
      </w:pPr>
      <w:r>
        <w:drawing>
          <wp:inline distT="0" distB="0" distL="0" distR="0">
            <wp:extent cx="6124575" cy="2133600"/>
            <wp:effectExtent t="0" r="0" b="0" l="0"/>
            <wp:docPr id="1" name="captura" descr="Captura del mockup" title="Captura del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133600"/>
                    </a:xfrm>
                    <a:prstGeom prst="rect">
                      <a:avLst/>
                    </a:prstGeom>
                  </pic:spPr>
                </pic:pic>
              </a:graphicData>
            </a:graphic>
          </wp:inline>
        </w:drawing>
      </w:r>
    </w:p>
    <w:p>
      <w:pPr>
        <w:spacing w:after="220" w:before="0" w:line="276"/>
      </w:pPr>
      <w:r>
        <w:rPr>
          <w:rFonts w:ascii="Arial" w:cs="Arial" w:eastAsia="Arial" w:hAnsi="Arial"/>
          <w:i/>
          <w:iCs/>
          <w:color w:val="595959"/>
          <w:sz w:val="17"/>
          <w:szCs w:val="17"/>
        </w:rPr>
        <w:t xml:space="preserve">Tabla por anualidad o por línea, con varias a la vez (12), y el bloque «A corto plazo» por anualidad, con «Dispuesto + propuesto» y el margen para nuevas altas (13).</w:t>
      </w:r>
    </w:p>
    <w:p>
      <w:pPr>
        <w:pStyle w:val="Heading2"/>
        <w:keepNext/>
        <w:spacing w:after="100" w:before="220"/>
      </w:pPr>
      <w:r>
        <w:rPr>
          <w:rFonts w:ascii="Arial" w:cs="Arial" w:eastAsia="Arial" w:hAnsi="Arial"/>
        </w:rPr>
        <w:t xml:space="preserve">Expedientes sin actividad</w:t>
      </w:r>
    </w:p>
    <w:p>
      <w:pPr>
        <w:keepNext/>
        <w:spacing w:after="60"/>
      </w:pPr>
      <w:r>
        <w:drawing>
          <wp:inline distT="0" distB="0" distL="0" distR="0">
            <wp:extent cx="6124575" cy="2009775"/>
            <wp:effectExtent t="0" r="0" b="0" l="0"/>
            <wp:docPr id="1" name="captura" descr="Captura del mockup" title="Captura del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009775"/>
                    </a:xfrm>
                    <a:prstGeom prst="rect">
                      <a:avLst/>
                    </a:prstGeom>
                  </pic:spPr>
                </pic:pic>
              </a:graphicData>
            </a:graphic>
          </wp:inline>
        </w:drawing>
      </w:r>
    </w:p>
    <w:p>
      <w:pPr>
        <w:spacing w:after="220" w:before="0" w:line="276"/>
      </w:pPr>
      <w:r>
        <w:rPr>
          <w:rFonts w:ascii="Arial" w:cs="Arial" w:eastAsia="Arial" w:hAnsi="Arial"/>
          <w:i/>
          <w:iCs/>
          <w:color w:val="595959"/>
          <w:sz w:val="17"/>
          <w:szCs w:val="17"/>
        </w:rPr>
        <w:t xml:space="preserve">La tabla con su nuevo nombre (14), filtrada por los revisados sin proponer y con más de 30 días sin actuación (15), y la columna «Meses de atraso» (16).</w:t>
      </w:r>
    </w:p>
    <w:p>
      <w:pPr>
        <w:pStyle w:val="Heading1"/>
        <w:keepNext/>
        <w:spacing w:after="140" w:before="320"/>
      </w:pPr>
      <w:r>
        <w:rPr>
          <w:rFonts w:ascii="Arial" w:cs="Arial" w:eastAsia="Arial" w:hAnsi="Arial"/>
        </w:rPr>
        <w:t xml:space="preserve">4. Además</w:t>
      </w:r>
    </w:p>
    <w:p>
      <w:pPr>
        <w:pStyle w:val="ListParagraph"/>
        <w:numPr>
          <w:ilvl w:val="0"/>
          <w:numId w:val="2"/>
        </w:numPr>
        <w:spacing w:after="70" w:line="264"/>
      </w:pPr>
      <w:r>
        <w:rPr>
          <w:rFonts w:ascii="Arial" w:cs="Arial" w:eastAsia="Arial" w:hAnsi="Arial"/>
          <w:color w:val="0A1F44"/>
        </w:rPr>
        <w:t xml:space="preserve">Los avisos (i) de toda la pantalla son ahora mucho más cortos: dos o tres líneas cada uno (qué es, la cifra de ahora y cómo leerlo).</w:t>
      </w:r>
    </w:p>
    <w:p>
      <w:pPr>
        <w:pStyle w:val="ListParagraph"/>
        <w:numPr>
          <w:ilvl w:val="0"/>
          <w:numId w:val="2"/>
        </w:numPr>
        <w:spacing w:after="70" w:line="264"/>
      </w:pPr>
      <w:r>
        <w:rPr>
          <w:rFonts w:ascii="Arial" w:cs="Arial" w:eastAsia="Arial" w:hAnsi="Arial"/>
          <w:color w:val="0A1F44"/>
        </w:rPr>
        <w:t xml:space="preserve">Todas las cifras cuadran entre sí: cabecera, gráficas, árbol del explorador y tabla, también con filtros.</w:t>
      </w:r>
    </w:p>
    <w:p>
      <w:pPr>
        <w:pStyle w:val="Heading1"/>
        <w:keepNext/>
        <w:spacing w:after="140" w:before="320"/>
      </w:pPr>
      <w:r>
        <w:rPr>
          <w:rFonts w:ascii="Arial" w:cs="Arial" w:eastAsia="Arial" w:hAnsi="Arial"/>
        </w:rPr>
        <w:t xml:space="preserve">5. Lo que falta para cerrar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900"/>
        <w:gridCol w:w="3438"/>
      </w:tblGrid>
      <w:tr>
        <w:trPr>
          <w:cantSplit/>
          <w:tblHeader/>
        </w:trPr>
        <w:tc>
          <w:tcPr>
            <w:tcW w:type="dxa" w:w="43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Qué</w:t>
            </w:r>
          </w:p>
        </w:tc>
        <w:tc>
          <w:tcPr>
            <w:tcW w:type="dxa" w:w="1900"/>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Quién</w:t>
            </w:r>
          </w:p>
        </w:tc>
        <w:tc>
          <w:tcPr>
            <w:tcW w:type="dxa" w:w="3438"/>
            <w:tcBorders>
              <w:top w:val="single" w:color="D3D3DD" w:sz="4"/>
              <w:left w:val="single" w:color="D3D3DD" w:sz="4"/>
              <w:bottom w:val="single" w:color="D3D3DD" w:sz="4"/>
              <w:right w:val="single" w:color="D3D3DD" w:sz="4"/>
            </w:tcBorders>
            <w:shd w:fill="0A1F4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Para qué</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Decidir dónde se registra la revisión de conformidad: la etapa «Propuesta favorable» o una marca con su fecha</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Gema y Mila</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Contar con datos reales los revisados sin proponer (2)</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Etapas y actividades reales de Atlantix</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Mila</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Rehacer el detalle de cada etapa (8), en la fase 2</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Tipo de documento contable de los pagos únicos y si llevan expediente o DNI</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Pablo</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Separar los dos tipos de pago único (5)</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Nombres de los indicadores de los cuadros de dirección</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Enrique</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Usar los mismos nombres (18)</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Confirmar que Celonis permite comparar dos periodos como en el mockup</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Andrés</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Decidir si la comparativa entra (1)</w:t>
            </w:r>
          </w:p>
        </w:tc>
      </w:tr>
      <w:tr>
        <w:trPr>
          <w:cantSplit/>
        </w:trPr>
        <w:tc>
          <w:tcPr>
            <w:tcW w:type="dxa" w:w="4300"/>
            <w:tcBorders>
              <w:top w:val="single" w:color="D3D3DD" w:sz="4"/>
              <w:left w:val="single" w:color="D3D3DD" w:sz="4"/>
              <w:bottom w:val="single" w:color="D3D3DD" w:sz="4"/>
              <w:right w:val="single" w:color="D3D3DD" w:sz="4"/>
            </w:tcBorders>
            <w:shd w:fill="F2F4F7" w:color="auto" w:val="clear"/>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Respuestas pendientes al Excel de datos necesarios</w:t>
            </w:r>
          </w:p>
        </w:tc>
        <w:tc>
          <w:tcPr>
            <w:tcW w:type="dxa" w:w="1900"/>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Eficiencia (Madrid Digital)</w:t>
            </w:r>
          </w:p>
        </w:tc>
        <w:tc>
          <w:tcPr>
            <w:tcW w:type="dxa" w:w="3438"/>
            <w:tcBorders>
              <w:top w:val="single" w:color="D3D3DD" w:sz="4"/>
              <w:left w:val="single" w:color="D3D3DD" w:sz="4"/>
              <w:bottom w:val="single" w:color="D3D3DD" w:sz="4"/>
              <w:right w:val="single" w:color="D3D3DD" w:sz="4"/>
            </w:tcBorders>
            <w:tcMar>
              <w:top w:type="dxa" w:w="70"/>
              <w:left w:type="dxa" w:w="100"/>
              <w:bottom w:type="dxa" w:w="70"/>
              <w:right w:type="dxa" w:w="100"/>
            </w:tcMar>
            <w:vAlign w:val="top"/>
          </w:tcPr>
          <w:p>
            <w:pPr>
              <w:spacing w:after="40" w:line="252"/>
            </w:pPr>
            <w:r>
              <w:rPr>
                <w:rFonts w:ascii="Arial" w:cs="Arial" w:eastAsia="Arial" w:hAnsi="Arial"/>
                <w:color w:val="0A1F44"/>
                <w:sz w:val="18"/>
                <w:szCs w:val="18"/>
              </w:rPr>
              <w:t xml:space="preserve">Calcular con datos reales</w:t>
            </w:r>
          </w:p>
        </w:tc>
      </w:tr>
    </w:tbl>
    <w:p>
      <w:pPr>
        <w:pStyle w:val="Heading1"/>
        <w:keepNext/>
        <w:spacing w:after="140" w:before="320"/>
      </w:pPr>
      <w:r>
        <w:rPr>
          <w:rFonts w:ascii="Arial" w:cs="Arial" w:eastAsia="Arial" w:hAnsi="Arial"/>
        </w:rPr>
        <w:t xml:space="preserve">6. Próximos pasos</w:t>
      </w:r>
    </w:p>
    <w:p>
      <w:pPr>
        <w:pStyle w:val="ListParagraph"/>
        <w:numPr>
          <w:ilvl w:val="0"/>
          <w:numId w:val="2"/>
        </w:numPr>
        <w:spacing w:after="70" w:line="264"/>
      </w:pPr>
      <w:r>
        <w:rPr>
          <w:rFonts w:ascii="Arial" w:cs="Arial" w:eastAsia="Arial" w:hAnsi="Arial"/>
          <w:color w:val="0A1F44"/>
        </w:rPr>
        <w:t xml:space="preserve">Javi envía el documento de propuesta y el mockup el jueves 5/11.</w:t>
      </w:r>
    </w:p>
    <w:p>
      <w:pPr>
        <w:pStyle w:val="ListParagraph"/>
        <w:numPr>
          <w:ilvl w:val="0"/>
          <w:numId w:val="2"/>
        </w:numPr>
        <w:spacing w:after="70" w:line="264"/>
      </w:pPr>
      <w:r>
        <w:rPr>
          <w:rFonts w:ascii="Arial" w:cs="Arial" w:eastAsia="Arial" w:hAnsi="Arial"/>
          <w:color w:val="0A1F44"/>
        </w:rPr>
        <w:t xml:space="preserve">La unidad necesita 2 o 3 días para revisarlo.</w:t>
      </w:r>
    </w:p>
    <w:p>
      <w:pPr>
        <w:pStyle w:val="ListParagraph"/>
        <w:numPr>
          <w:ilvl w:val="0"/>
          <w:numId w:val="2"/>
        </w:numPr>
        <w:spacing w:after="70" w:line="264"/>
      </w:pPr>
      <w:r>
        <w:rPr>
          <w:rFonts w:ascii="Arial" w:cs="Arial" w:eastAsia="Arial" w:hAnsi="Arial"/>
          <w:color w:val="0A1F44"/>
        </w:rPr>
        <w:t xml:space="preserve">Sesión de validación la semana siguiente. Los miércoles no le van bien a Mila.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Peticiones de la sesión del 27/10 · Ayudas a la natalidad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A1F44"/>
      <w:sz w:val="30"/>
      <w:szCs w:val="30"/>
    </w:rPr>
  </w:style>
  <w:style w:type="paragraph" w:styleId="Heading2">
    <w:name w:val="Heading 2"/>
    <w:basedOn w:val="Normal"/>
    <w:next w:val="Normal"/>
    <w:qFormat/>
    <w:pPr>
      <w:outlineLvl w:val="1"/>
    </w:pPr>
    <w:rPr>
      <w:rFonts w:ascii="Arial" w:cs="Arial" w:eastAsia="Arial" w:hAnsi="Arial"/>
      <w:b/>
      <w:bCs/>
      <w:color w:val="0A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2027afaa200b1ba2a9d9656ddeaa1ad6e15292.png"/><Relationship Id="rId9" Type="http://schemas.openxmlformats.org/officeDocument/2006/relationships/image" Target="media/c2b29ef22955615c0c50054cc7246ee74bf36ab4.png"/><Relationship Id="rId10" Type="http://schemas.openxmlformats.org/officeDocument/2006/relationships/image" Target="media/d56f8df03a12a407909cf96eb19d24fec0eba2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Peticiones de la sesión del 27/10 · Ayudas a la natalidad</dc:title>
  <dc:creator>NTT DATA</dc:creator>
  <cp:lastModifiedBy>Un-named</cp:lastModifiedBy>
  <cp:revision>1</cp:revision>
  <dcterms:created xsi:type="dcterms:W3CDTF">2026-10-30T08:36:15.486Z</dcterms:created>
  <dcterms:modified xsi:type="dcterms:W3CDTF">2026-10-30T08:36:15.553Z</dcterms:modified>
</cp:coreProperties>
</file>

<file path=docProps/custom.xml><?xml version="1.0" encoding="utf-8"?>
<Properties xmlns="http://schemas.openxmlformats.org/officeDocument/2006/custom-properties" xmlns:vt="http://schemas.openxmlformats.org/officeDocument/2006/docPropsVTypes"/>
</file>