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6"/>
        </w:rPr>
        <w:t>DISCORD INFRASTRUCTURE DESIGNER</w:t>
      </w:r>
    </w:p>
    <w:p>
      <w:pPr>
        <w:pStyle w:val="Title"/>
        <w:jc w:val="center"/>
      </w:pPr>
      <w:r>
        <w:t>Exigences détaillées consolidées</w:t>
        <w:br/>
        <w:t>&amp; audit de conformité</w:t>
      </w:r>
    </w:p>
    <w:p>
      <w:pPr>
        <w:jc w:val="center"/>
      </w:pPr>
      <w:r>
        <w:rPr>
          <w:color w:val="5A5A5A"/>
          <w:sz w:val="22"/>
        </w:rPr>
        <w:t>Version 1.0 — branche stage/10-acceptance — 13 septembre 2026</w:t>
      </w:r>
    </w:p>
    <w:p>
      <w:pPr>
        <w:jc w:val="center"/>
      </w:pPr>
      <w:r>
        <w:rPr>
          <w:i/>
        </w:rPr>
        <w:br/>
        <w:t>Document d’implémentation — ne modifie pas les références gelées de docs/00_reference</w:t>
      </w:r>
    </w:p>
    <w:p>
      <w:r>
        <w:br w:type="page"/>
      </w:r>
    </w:p>
    <w:p>
      <w:pPr>
        <w:pStyle w:val="Heading1"/>
      </w:pPr>
      <w:r>
        <w:t>1. Objet et autorité documentaire</w:t>
      </w:r>
    </w:p>
    <w:p>
      <w:r>
        <w:t>Ce document consolide le référentiel fonctionnel et technique existant, les décisions produit issues de la revue utilisateur et un audit conservateur du code actuel.</w:t>
      </w:r>
    </w:p>
    <w:p>
      <w:r>
        <w:t>Le socle historique comporte 246 exigences uniques dans docs/10_implementation/00_REQUIREMENTS_TRACEABILITY.md. Elles restent normatives. Le présent document ajoute des exigences atomiques là où les décisions produit sont plus précises — en particulier Policies, Wizards, opérations persistantes, templates d’infrastructure et réutilisation de packages/outils.</w:t>
      </w:r>
    </w:p>
    <w:p>
      <w:r>
        <w:t>Les documents de docs/00_reference restent inchangés. Tant que ces nouvelles exigences ne sont pas validées et injectées dans le générateur canonique de traçabilité, ce document doit rester dans docs/10_implementation/.</w:t>
      </w:r>
    </w:p>
    <w:p>
      <w:pPr>
        <w:pStyle w:val="Heading1"/>
      </w:pPr>
      <w:r>
        <w:t>2. Méthode et règle de conformité</w:t>
      </w:r>
    </w:p>
    <w:p>
      <w:pPr>
        <w:pStyle w:val="ListBullet"/>
      </w:pPr>
      <w:r>
        <w:t>Un fichier, une classe, un endpoint ou un écran ne suffit jamais à prouver une exigence complète.</w:t>
      </w:r>
    </w:p>
    <w:p>
      <w:pPr>
        <w:pStyle w:val="ListBullet"/>
      </w:pPr>
      <w:r>
        <w:t>Une fonctionnalité commencée mais ne couvrant pas tous ses critères obligatoires reste PARTIEL.</w:t>
      </w:r>
    </w:p>
    <w:p>
      <w:pPr>
        <w:pStyle w:val="ListBullet"/>
      </w:pPr>
      <w:r>
        <w:t>Les statuts VERIFIED du registre historique sont des preuves existantes à contrôler ; ils ne sont pas recopiés automatiquement comme résultat de cet audit.</w:t>
      </w:r>
    </w:p>
    <w:p>
      <w:pPr>
        <w:pStyle w:val="ListBullet"/>
      </w:pPr>
      <w:r>
        <w:t>NON DÉMONTRÉ ne signifie pas forcément “défectueux” : cela signifie que la preuve indépendante n’est pas suffisante dans le périmètre inspecté.</w:t>
      </w:r>
    </w:p>
    <w:p>
      <w:pPr>
        <w:pStyle w:val="ListBullet"/>
      </w:pPr>
      <w:r>
        <w:t>Pour les décisions de sécurité ou de gouvernance, données incomplètes ⇒ UNKNOWN/BLOCKED, jamais permissif par défaut.</w:t>
      </w:r>
    </w:p>
    <w:tbl>
      <w:tblPr>
        <w:tblW w:type="auto" w:w="0"/>
        <w:jc w:val="center"/>
        <w:tblLayout w:type="fixed"/>
        <w:tblLook w:firstColumn="1" w:firstRow="1" w:lastColumn="0" w:lastRow="0" w:noHBand="0" w:noVBand="1" w:val="04A0"/>
      </w:tblPr>
      <w:tblGrid>
        <w:gridCol w:w="2381"/>
        <w:gridCol w:w="12643"/>
      </w:tblGrid>
      <w:tr>
        <w:trPr>
          <w:cantSplit/>
        </w:trPr>
        <w:tc>
          <w:tcPr>
            <w:tcW w:type="dxa" w:w="7739"/>
            <w:vAlign w:val="top"/>
            <w:tcMar>
              <w:top w:w="60" w:type="dxa"/>
              <w:start w:w="60" w:type="dxa"/>
              <w:bottom w:w="60" w:type="dxa"/>
              <w:end w:w="60" w:type="dxa"/>
            </w:tcMar>
            <w:shd w:fill="D9EAF7"/>
          </w:tcPr>
          <w:p>
            <w:pPr>
              <w:spacing w:after="0" w:before="0"/>
            </w:pPr>
            <w:r/>
            <w:r>
              <w:rPr>
                <w:rFonts w:ascii="Aptos" w:hAnsi="Aptos"/>
                <w:b/>
                <w:sz w:val="16"/>
              </w:rPr>
              <w:t>Statut</w:t>
            </w:r>
          </w:p>
        </w:tc>
        <w:tc>
          <w:tcPr>
            <w:tcW w:type="dxa" w:w="7739"/>
            <w:vAlign w:val="top"/>
            <w:tcMar>
              <w:top w:w="60" w:type="dxa"/>
              <w:start w:w="60" w:type="dxa"/>
              <w:bottom w:w="60" w:type="dxa"/>
              <w:end w:w="60" w:type="dxa"/>
            </w:tcMar>
            <w:shd w:fill="D9EAF7"/>
          </w:tcPr>
          <w:p>
            <w:pPr>
              <w:spacing w:after="0" w:before="0"/>
            </w:pPr>
            <w:r/>
            <w:r>
              <w:rPr>
                <w:rFonts w:ascii="Aptos" w:hAnsi="Aptos"/>
                <w:b/>
                <w:sz w:val="16"/>
              </w:rPr>
              <w:t>Signification</w:t>
            </w:r>
          </w:p>
        </w:tc>
      </w:tr>
      <w:tr>
        <w:trPr>
          <w:cantSplit/>
        </w:trPr>
        <w:tc>
          <w:tcPr>
            <w:tcW w:type="dxa" w:w="2381"/>
            <w:vAlign w:val="top"/>
            <w:tcMar>
              <w:top w:w="60" w:type="dxa"/>
              <w:start w:w="60" w:type="dxa"/>
              <w:bottom w:w="60" w:type="dxa"/>
              <w:end w:w="60" w:type="dxa"/>
            </w:tcMar>
          </w:tcPr>
          <w:p>
            <w:pPr>
              <w:spacing w:after="0" w:before="0"/>
            </w:pPr>
            <w:r/>
            <w:r>
              <w:rPr>
                <w:rFonts w:ascii="Aptos" w:hAnsi="Aptos"/>
                <w:b/>
                <w:sz w:val="16"/>
              </w:rPr>
              <w:t>CONFORME</w:t>
            </w:r>
          </w:p>
        </w:tc>
        <w:tc>
          <w:tcPr>
            <w:tcW w:type="dxa" w:w="12643"/>
            <w:vAlign w:val="top"/>
            <w:tcMar>
              <w:top w:w="60" w:type="dxa"/>
              <w:start w:w="60" w:type="dxa"/>
              <w:bottom w:w="60" w:type="dxa"/>
              <w:end w:w="60" w:type="dxa"/>
            </w:tcMar>
          </w:tcPr>
          <w:p>
            <w:pPr>
              <w:spacing w:after="0" w:before="0"/>
            </w:pPr>
            <w:r/>
            <w:r>
              <w:rPr>
                <w:rFonts w:ascii="Aptos" w:hAnsi="Aptos"/>
                <w:b w:val="0"/>
                <w:sz w:val="16"/>
              </w:rPr>
              <w:t>Comportement démontré par code inspecté et preuve pertinente.</w:t>
            </w:r>
          </w:p>
        </w:tc>
      </w:tr>
      <w:tr>
        <w:trPr>
          <w:cantSplit/>
        </w:trPr>
        <w:tc>
          <w:tcPr>
            <w:tcW w:type="dxa" w:w="2381"/>
            <w:vAlign w:val="top"/>
            <w:tcMar>
              <w:top w:w="60" w:type="dxa"/>
              <w:start w:w="60" w:type="dxa"/>
              <w:bottom w:w="60" w:type="dxa"/>
              <w:end w:w="60" w:type="dxa"/>
            </w:tcMar>
          </w:tcPr>
          <w:p>
            <w:pPr>
              <w:spacing w:after="0" w:before="0"/>
            </w:pPr>
            <w:r/>
            <w:r>
              <w:rPr>
                <w:rFonts w:ascii="Aptos" w:hAnsi="Aptos"/>
                <w:b/>
                <w:sz w:val="16"/>
              </w:rPr>
              <w:t>PARTIEL</w:t>
            </w:r>
          </w:p>
        </w:tc>
        <w:tc>
          <w:tcPr>
            <w:tcW w:type="dxa" w:w="12643"/>
            <w:vAlign w:val="top"/>
            <w:tcMar>
              <w:top w:w="60" w:type="dxa"/>
              <w:start w:w="60" w:type="dxa"/>
              <w:bottom w:w="60" w:type="dxa"/>
              <w:end w:w="60" w:type="dxa"/>
            </w:tcMar>
          </w:tcPr>
          <w:p>
            <w:pPr>
              <w:spacing w:after="0" w:before="0"/>
            </w:pPr>
            <w:r/>
            <w:r>
              <w:rPr>
                <w:rFonts w:ascii="Aptos" w:hAnsi="Aptos"/>
                <w:b w:val="0"/>
                <w:sz w:val="16"/>
              </w:rPr>
              <w:t>Une partie substantielle existe, mais un ou plusieurs critères restent manquants/non prouvés.</w:t>
            </w:r>
          </w:p>
        </w:tc>
      </w:tr>
      <w:tr>
        <w:trPr>
          <w:cantSplit/>
        </w:trPr>
        <w:tc>
          <w:tcPr>
            <w:tcW w:type="dxa" w:w="2381"/>
            <w:vAlign w:val="top"/>
            <w:tcMar>
              <w:top w:w="60" w:type="dxa"/>
              <w:start w:w="60" w:type="dxa"/>
              <w:bottom w:w="60" w:type="dxa"/>
              <w:end w:w="60" w:type="dxa"/>
            </w:tcMar>
          </w:tcPr>
          <w:p>
            <w:pPr>
              <w:spacing w:after="0" w:before="0"/>
            </w:pPr>
            <w:r/>
            <w:r>
              <w:rPr>
                <w:rFonts w:ascii="Aptos" w:hAnsi="Aptos"/>
                <w:b/>
                <w:sz w:val="16"/>
              </w:rPr>
              <w:t>ABSENT</w:t>
            </w:r>
          </w:p>
        </w:tc>
        <w:tc>
          <w:tcPr>
            <w:tcW w:type="dxa" w:w="12643"/>
            <w:vAlign w:val="top"/>
            <w:tcMar>
              <w:top w:w="60" w:type="dxa"/>
              <w:start w:w="60" w:type="dxa"/>
              <w:bottom w:w="60" w:type="dxa"/>
              <w:end w:w="60" w:type="dxa"/>
            </w:tcMar>
          </w:tcPr>
          <w:p>
            <w:pPr>
              <w:spacing w:after="0" w:before="0"/>
            </w:pPr>
            <w:r/>
            <w:r>
              <w:rPr>
                <w:rFonts w:ascii="Aptos" w:hAnsi="Aptos"/>
                <w:b w:val="0"/>
                <w:sz w:val="16"/>
              </w:rPr>
              <w:t>Fonction exigée non trouvée dans le code audité ou seulement présente dans le référentiel.</w:t>
            </w:r>
          </w:p>
        </w:tc>
      </w:tr>
      <w:tr>
        <w:trPr>
          <w:cantSplit/>
        </w:trPr>
        <w:tc>
          <w:tcPr>
            <w:tcW w:type="dxa" w:w="2381"/>
            <w:vAlign w:val="top"/>
            <w:tcMar>
              <w:top w:w="60" w:type="dxa"/>
              <w:start w:w="60" w:type="dxa"/>
              <w:bottom w:w="60" w:type="dxa"/>
              <w:end w:w="60" w:type="dxa"/>
            </w:tcMar>
          </w:tcPr>
          <w:p>
            <w:pPr>
              <w:spacing w:after="0" w:before="0"/>
            </w:pPr>
            <w:r/>
            <w:r>
              <w:rPr>
                <w:rFonts w:ascii="Aptos" w:hAnsi="Aptos"/>
                <w:b/>
                <w:sz w:val="16"/>
              </w:rPr>
              <w:t>NON DÉMONTRÉ</w:t>
            </w:r>
          </w:p>
        </w:tc>
        <w:tc>
          <w:tcPr>
            <w:tcW w:type="dxa" w:w="12643"/>
            <w:vAlign w:val="top"/>
            <w:tcMar>
              <w:top w:w="60" w:type="dxa"/>
              <w:start w:w="60" w:type="dxa"/>
              <w:bottom w:w="60" w:type="dxa"/>
              <w:end w:w="60" w:type="dxa"/>
            </w:tcMar>
          </w:tcPr>
          <w:p>
            <w:pPr>
              <w:spacing w:after="0" w:before="0"/>
            </w:pPr>
            <w:r/>
            <w:r>
              <w:rPr>
                <w:rFonts w:ascii="Aptos" w:hAnsi="Aptos"/>
                <w:b w:val="0"/>
                <w:sz w:val="16"/>
              </w:rPr>
              <w:t>Éléments plausibles présents, mais preuve insuffisante pour créditer la conformité.</w:t>
            </w:r>
          </w:p>
        </w:tc>
      </w:tr>
    </w:tbl>
    <w:p>
      <w:pPr>
        <w:pStyle w:val="Heading1"/>
      </w:pPr>
      <w:r>
        <w:t>3. Socle historique — 246 exigences</w:t>
      </w:r>
    </w:p>
    <w:p>
      <w:r>
        <w:t>Le tableau suivant ne remplace pas le registre canonique : il indique où l’audit indépendant apporte une preuve directe et où il reste volontairement prudent.</w:t>
      </w:r>
    </w:p>
    <w:tbl>
      <w:tblPr>
        <w:tblW w:type="auto" w:w="0"/>
        <w:jc w:val="center"/>
        <w:tblLayout w:type="fixed"/>
        <w:tblLook w:firstColumn="1" w:firstRow="1" w:lastColumn="0" w:lastRow="0" w:noHBand="0" w:noVBand="1" w:val="04A0"/>
      </w:tblPr>
      <w:tblGrid>
        <w:gridCol w:w="1701"/>
        <w:gridCol w:w="850"/>
        <w:gridCol w:w="3458"/>
        <w:gridCol w:w="1871"/>
        <w:gridCol w:w="6973"/>
      </w:tblGrid>
      <w:tr>
        <w:trPr>
          <w:tblHeader w:val="true"/>
          <w:cantSplit/>
        </w:trPr>
        <w:tc>
          <w:tcPr>
            <w:tcW w:type="dxa" w:w="3096"/>
            <w:vAlign w:val="top"/>
            <w:tcMar>
              <w:top w:w="60" w:type="dxa"/>
              <w:start w:w="60" w:type="dxa"/>
              <w:bottom w:w="60" w:type="dxa"/>
              <w:end w:w="60" w:type="dxa"/>
            </w:tcMar>
            <w:shd w:fill="D9EAF7"/>
          </w:tcPr>
          <w:p>
            <w:pPr>
              <w:spacing w:after="0" w:before="0"/>
            </w:pPr>
            <w:r/>
            <w:r>
              <w:rPr>
                <w:rFonts w:ascii="Aptos" w:hAnsi="Aptos"/>
                <w:b/>
                <w:sz w:val="15"/>
              </w:rPr>
              <w:t>Famille</w:t>
            </w:r>
          </w:p>
        </w:tc>
        <w:tc>
          <w:tcPr>
            <w:tcW w:type="dxa" w:w="3096"/>
            <w:vAlign w:val="top"/>
            <w:tcMar>
              <w:top w:w="60" w:type="dxa"/>
              <w:start w:w="60" w:type="dxa"/>
              <w:bottom w:w="60" w:type="dxa"/>
              <w:end w:w="60" w:type="dxa"/>
            </w:tcMar>
            <w:shd w:fill="D9EAF7"/>
          </w:tcPr>
          <w:p>
            <w:pPr>
              <w:spacing w:after="0" w:before="0"/>
            </w:pPr>
            <w:r/>
            <w:r>
              <w:rPr>
                <w:rFonts w:ascii="Aptos" w:hAnsi="Aptos"/>
                <w:b/>
                <w:sz w:val="15"/>
              </w:rPr>
              <w:t>Nb</w:t>
            </w:r>
          </w:p>
        </w:tc>
        <w:tc>
          <w:tcPr>
            <w:tcW w:type="dxa" w:w="3096"/>
            <w:vAlign w:val="top"/>
            <w:tcMar>
              <w:top w:w="60" w:type="dxa"/>
              <w:start w:w="60" w:type="dxa"/>
              <w:bottom w:w="60" w:type="dxa"/>
              <w:end w:w="60" w:type="dxa"/>
            </w:tcMar>
            <w:shd w:fill="D9EAF7"/>
          </w:tcPr>
          <w:p>
            <w:pPr>
              <w:spacing w:after="0" w:before="0"/>
            </w:pPr>
            <w:r/>
            <w:r>
              <w:rPr>
                <w:rFonts w:ascii="Aptos" w:hAnsi="Aptos"/>
                <w:b/>
                <w:sz w:val="15"/>
              </w:rPr>
              <w:t>Domaine</w:t>
            </w:r>
          </w:p>
        </w:tc>
        <w:tc>
          <w:tcPr>
            <w:tcW w:type="dxa" w:w="3096"/>
            <w:vAlign w:val="top"/>
            <w:tcMar>
              <w:top w:w="60" w:type="dxa"/>
              <w:start w:w="60" w:type="dxa"/>
              <w:bottom w:w="60" w:type="dxa"/>
              <w:end w:w="60" w:type="dxa"/>
            </w:tcMar>
            <w:shd w:fill="D9EAF7"/>
          </w:tcPr>
          <w:p>
            <w:pPr>
              <w:spacing w:after="0" w:before="0"/>
            </w:pPr>
            <w:r/>
            <w:r>
              <w:rPr>
                <w:rFonts w:ascii="Aptos" w:hAnsi="Aptos"/>
                <w:b/>
                <w:sz w:val="15"/>
              </w:rPr>
              <w:t>Audit</w:t>
            </w:r>
          </w:p>
        </w:tc>
        <w:tc>
          <w:tcPr>
            <w:tcW w:type="dxa" w:w="3096"/>
            <w:vAlign w:val="top"/>
            <w:tcMar>
              <w:top w:w="60" w:type="dxa"/>
              <w:start w:w="60" w:type="dxa"/>
              <w:bottom w:w="60" w:type="dxa"/>
              <w:end w:w="60" w:type="dxa"/>
            </w:tcMar>
            <w:shd w:fill="D9EAF7"/>
          </w:tcPr>
          <w:p>
            <w:pPr>
              <w:spacing w:after="0" w:before="0"/>
            </w:pPr>
            <w:r/>
            <w:r>
              <w:rPr>
                <w:rFonts w:ascii="Aptos" w:hAnsi="Aptos"/>
                <w:b/>
                <w:sz w:val="15"/>
              </w:rPr>
              <w:t>Observation</w:t>
            </w:r>
          </w:p>
        </w:tc>
      </w:tr>
      <w:tr>
        <w:trPr>
          <w:cantSplit/>
        </w:trPr>
        <w:tc>
          <w:tcPr>
            <w:tcW w:type="dxa" w:w="1701"/>
            <w:vAlign w:val="top"/>
            <w:tcMar>
              <w:top w:w="60" w:type="dxa"/>
              <w:start w:w="60" w:type="dxa"/>
              <w:bottom w:w="60" w:type="dxa"/>
              <w:end w:w="60" w:type="dxa"/>
            </w:tcMar>
          </w:tcPr>
          <w:p>
            <w:pPr>
              <w:spacing w:after="0" w:before="0"/>
            </w:pPr>
            <w:r/>
            <w:r>
              <w:rPr>
                <w:rFonts w:ascii="Aptos" w:hAnsi="Aptos"/>
                <w:b/>
                <w:sz w:val="14"/>
              </w:rPr>
              <w:t>REQ-INST</w:t>
            </w:r>
          </w:p>
        </w:tc>
        <w:tc>
          <w:tcPr>
            <w:tcW w:type="dxa" w:w="850"/>
            <w:vAlign w:val="top"/>
            <w:tcMar>
              <w:top w:w="60" w:type="dxa"/>
              <w:start w:w="60" w:type="dxa"/>
              <w:bottom w:w="60" w:type="dxa"/>
              <w:end w:w="60" w:type="dxa"/>
            </w:tcMar>
          </w:tcPr>
          <w:p>
            <w:pPr>
              <w:spacing w:after="0" w:before="0"/>
            </w:pPr>
            <w:r/>
            <w:r>
              <w:rPr>
                <w:rFonts w:ascii="Aptos" w:hAnsi="Aptos"/>
                <w:b w:val="0"/>
                <w:sz w:val="14"/>
              </w:rPr>
              <w:t>7</w:t>
            </w:r>
          </w:p>
        </w:tc>
        <w:tc>
          <w:tcPr>
            <w:tcW w:type="dxa" w:w="3458"/>
            <w:vAlign w:val="top"/>
            <w:tcMar>
              <w:top w:w="60" w:type="dxa"/>
              <w:start w:w="60" w:type="dxa"/>
              <w:bottom w:w="60" w:type="dxa"/>
              <w:end w:w="60" w:type="dxa"/>
            </w:tcMar>
          </w:tcPr>
          <w:p>
            <w:pPr>
              <w:spacing w:after="0" w:before="0"/>
            </w:pPr>
            <w:r/>
            <w:r>
              <w:rPr>
                <w:rFonts w:ascii="Aptos" w:hAnsi="Aptos"/>
                <w:b w:val="0"/>
                <w:sz w:val="14"/>
              </w:rPr>
              <w:t>Installation / bootstrap</w:t>
            </w:r>
          </w:p>
        </w:tc>
        <w:tc>
          <w:tcPr>
            <w:tcW w:type="dxa" w:w="1871"/>
            <w:vAlign w:val="top"/>
            <w:tcMar>
              <w:top w:w="60" w:type="dxa"/>
              <w:start w:w="60" w:type="dxa"/>
              <w:bottom w:w="60" w:type="dxa"/>
              <w:end w:w="60" w:type="dxa"/>
            </w:tcMar>
            <w:shd w:fill="E7E6E6"/>
          </w:tcPr>
          <w:p>
            <w:pPr>
              <w:spacing w:after="0" w:before="0"/>
            </w:pPr>
            <w:r/>
            <w:r>
              <w:rPr>
                <w:rFonts w:ascii="Aptos" w:hAnsi="Aptos"/>
                <w:b/>
                <w:sz w:val="14"/>
              </w:rPr>
              <w:t>NON DÉMONTRÉ</w:t>
            </w:r>
          </w:p>
        </w:tc>
        <w:tc>
          <w:tcPr>
            <w:tcW w:type="dxa" w:w="6973"/>
            <w:vAlign w:val="top"/>
            <w:tcMar>
              <w:top w:w="60" w:type="dxa"/>
              <w:start w:w="60" w:type="dxa"/>
              <w:bottom w:w="60" w:type="dxa"/>
              <w:end w:w="60" w:type="dxa"/>
            </w:tcMar>
          </w:tcPr>
          <w:p>
            <w:pPr>
              <w:spacing w:after="0" w:before="0"/>
            </w:pPr>
            <w:r/>
            <w:r>
              <w:rPr>
                <w:rFonts w:ascii="Aptos" w:hAnsi="Aptos"/>
                <w:b w:val="0"/>
                <w:sz w:val="14"/>
              </w:rPr>
              <w:t>Traçabilité existante riche, mais code d’installation/bootstrap non réinspecté intégralement dans cet audit.</w:t>
            </w:r>
          </w:p>
        </w:tc>
      </w:tr>
      <w:tr>
        <w:trPr>
          <w:cantSplit/>
        </w:trPr>
        <w:tc>
          <w:tcPr>
            <w:tcW w:type="dxa" w:w="1701"/>
            <w:vAlign w:val="top"/>
            <w:tcMar>
              <w:top w:w="60" w:type="dxa"/>
              <w:start w:w="60" w:type="dxa"/>
              <w:bottom w:w="60" w:type="dxa"/>
              <w:end w:w="60" w:type="dxa"/>
            </w:tcMar>
          </w:tcPr>
          <w:p>
            <w:pPr>
              <w:spacing w:after="0" w:before="0"/>
            </w:pPr>
            <w:r/>
            <w:r>
              <w:rPr>
                <w:rFonts w:ascii="Aptos" w:hAnsi="Aptos"/>
                <w:b/>
                <w:sz w:val="14"/>
              </w:rPr>
              <w:t>REQ-TEN</w:t>
            </w:r>
          </w:p>
        </w:tc>
        <w:tc>
          <w:tcPr>
            <w:tcW w:type="dxa" w:w="850"/>
            <w:vAlign w:val="top"/>
            <w:tcMar>
              <w:top w:w="60" w:type="dxa"/>
              <w:start w:w="60" w:type="dxa"/>
              <w:bottom w:w="60" w:type="dxa"/>
              <w:end w:w="60" w:type="dxa"/>
            </w:tcMar>
          </w:tcPr>
          <w:p>
            <w:pPr>
              <w:spacing w:after="0" w:before="0"/>
            </w:pPr>
            <w:r/>
            <w:r>
              <w:rPr>
                <w:rFonts w:ascii="Aptos" w:hAnsi="Aptos"/>
                <w:b w:val="0"/>
                <w:sz w:val="14"/>
              </w:rPr>
              <w:t>14</w:t>
            </w:r>
          </w:p>
        </w:tc>
        <w:tc>
          <w:tcPr>
            <w:tcW w:type="dxa" w:w="3458"/>
            <w:vAlign w:val="top"/>
            <w:tcMar>
              <w:top w:w="60" w:type="dxa"/>
              <w:start w:w="60" w:type="dxa"/>
              <w:bottom w:w="60" w:type="dxa"/>
              <w:end w:w="60" w:type="dxa"/>
            </w:tcMar>
          </w:tcPr>
          <w:p>
            <w:pPr>
              <w:spacing w:after="0" w:before="0"/>
            </w:pPr>
            <w:r/>
            <w:r>
              <w:rPr>
                <w:rFonts w:ascii="Aptos" w:hAnsi="Aptos"/>
                <w:b w:val="0"/>
                <w:sz w:val="14"/>
              </w:rPr>
              <w:t>Isolation multi-tenant / cross-Guild</w:t>
            </w:r>
          </w:p>
        </w:tc>
        <w:tc>
          <w:tcPr>
            <w:tcW w:type="dxa" w:w="1871"/>
            <w:vAlign w:val="top"/>
            <w:tcMar>
              <w:top w:w="60" w:type="dxa"/>
              <w:start w:w="60" w:type="dxa"/>
              <w:bottom w:w="60" w:type="dxa"/>
              <w:end w:w="60" w:type="dxa"/>
            </w:tcMar>
            <w:shd w:fill="E7E6E6"/>
          </w:tcPr>
          <w:p>
            <w:pPr>
              <w:spacing w:after="0" w:before="0"/>
            </w:pPr>
            <w:r/>
            <w:r>
              <w:rPr>
                <w:rFonts w:ascii="Aptos" w:hAnsi="Aptos"/>
                <w:b/>
                <w:sz w:val="14"/>
              </w:rPr>
              <w:t>NON DÉMONTRÉ</w:t>
            </w:r>
          </w:p>
        </w:tc>
        <w:tc>
          <w:tcPr>
            <w:tcW w:type="dxa" w:w="6973"/>
            <w:vAlign w:val="top"/>
            <w:tcMar>
              <w:top w:w="60" w:type="dxa"/>
              <w:start w:w="60" w:type="dxa"/>
              <w:bottom w:w="60" w:type="dxa"/>
              <w:end w:w="60" w:type="dxa"/>
            </w:tcMar>
          </w:tcPr>
          <w:p>
            <w:pPr>
              <w:spacing w:after="0" w:before="0"/>
            </w:pPr>
            <w:r/>
            <w:r>
              <w:rPr>
                <w:rFonts w:ascii="Aptos" w:hAnsi="Aptos"/>
                <w:b w:val="0"/>
                <w:sz w:val="14"/>
              </w:rPr>
              <w:t>RLS et scoping sont documentés; inspection indépendante exhaustive de chaque endpoint non reproduite.</w:t>
            </w:r>
          </w:p>
        </w:tc>
      </w:tr>
      <w:tr>
        <w:trPr>
          <w:cantSplit/>
        </w:trPr>
        <w:tc>
          <w:tcPr>
            <w:tcW w:type="dxa" w:w="1701"/>
            <w:vAlign w:val="top"/>
            <w:tcMar>
              <w:top w:w="60" w:type="dxa"/>
              <w:start w:w="60" w:type="dxa"/>
              <w:bottom w:w="60" w:type="dxa"/>
              <w:end w:w="60" w:type="dxa"/>
            </w:tcMar>
          </w:tcPr>
          <w:p>
            <w:pPr>
              <w:spacing w:after="0" w:before="0"/>
            </w:pPr>
            <w:r/>
            <w:r>
              <w:rPr>
                <w:rFonts w:ascii="Aptos" w:hAnsi="Aptos"/>
                <w:b/>
                <w:sz w:val="14"/>
              </w:rPr>
              <w:t>REQ-STR</w:t>
            </w:r>
          </w:p>
        </w:tc>
        <w:tc>
          <w:tcPr>
            <w:tcW w:type="dxa" w:w="850"/>
            <w:vAlign w:val="top"/>
            <w:tcMar>
              <w:top w:w="60" w:type="dxa"/>
              <w:start w:w="60" w:type="dxa"/>
              <w:bottom w:w="60" w:type="dxa"/>
              <w:end w:w="60" w:type="dxa"/>
            </w:tcMar>
          </w:tcPr>
          <w:p>
            <w:pPr>
              <w:spacing w:after="0" w:before="0"/>
            </w:pPr>
            <w:r/>
            <w:r>
              <w:rPr>
                <w:rFonts w:ascii="Aptos" w:hAnsi="Aptos"/>
                <w:b w:val="0"/>
                <w:sz w:val="14"/>
              </w:rPr>
              <w:t>13</w:t>
            </w:r>
          </w:p>
        </w:tc>
        <w:tc>
          <w:tcPr>
            <w:tcW w:type="dxa" w:w="3458"/>
            <w:vAlign w:val="top"/>
            <w:tcMar>
              <w:top w:w="60" w:type="dxa"/>
              <w:start w:w="60" w:type="dxa"/>
              <w:bottom w:w="60" w:type="dxa"/>
              <w:end w:w="60" w:type="dxa"/>
            </w:tcMar>
          </w:tcPr>
          <w:p>
            <w:pPr>
              <w:spacing w:after="0" w:before="0"/>
            </w:pPr>
            <w:r/>
            <w:r>
              <w:rPr>
                <w:rFonts w:ascii="Aptos" w:hAnsi="Aptos"/>
                <w:b w:val="0"/>
                <w:sz w:val="14"/>
              </w:rPr>
              <w:t>Structure / arbre / drag &amp; drop</w:t>
            </w:r>
          </w:p>
        </w:tc>
        <w:tc>
          <w:tcPr>
            <w:tcW w:type="dxa" w:w="1871"/>
            <w:vAlign w:val="top"/>
            <w:tcMar>
              <w:top w:w="60" w:type="dxa"/>
              <w:start w:w="60" w:type="dxa"/>
              <w:bottom w:w="60" w:type="dxa"/>
              <w:end w:w="60" w:type="dxa"/>
            </w:tcMar>
            <w:shd w:fill="FFF2CC"/>
          </w:tcPr>
          <w:p>
            <w:pPr>
              <w:spacing w:after="0" w:before="0"/>
            </w:pPr>
            <w:r/>
            <w:r>
              <w:rPr>
                <w:rFonts w:ascii="Aptos" w:hAnsi="Aptos"/>
                <w:b/>
                <w:sz w:val="14"/>
              </w:rPr>
              <w:t>PARTIEL</w:t>
            </w:r>
          </w:p>
        </w:tc>
        <w:tc>
          <w:tcPr>
            <w:tcW w:type="dxa" w:w="6973"/>
            <w:vAlign w:val="top"/>
            <w:tcMar>
              <w:top w:w="60" w:type="dxa"/>
              <w:start w:w="60" w:type="dxa"/>
              <w:bottom w:w="60" w:type="dxa"/>
              <w:end w:w="60" w:type="dxa"/>
            </w:tcMar>
          </w:tcPr>
          <w:p>
            <w:pPr>
              <w:spacing w:after="0" w:before="0"/>
            </w:pPr>
            <w:r/>
            <w:r>
              <w:rPr>
                <w:rFonts w:ascii="Aptos" w:hAnsi="Aptos"/>
                <w:b w:val="0"/>
                <w:sz w:val="14"/>
              </w:rPr>
              <w:t>StructureScreen et ActionRegistry existent; absence d’audit ligne-à-ligne de tous les scénarios.</w:t>
            </w:r>
          </w:p>
        </w:tc>
      </w:tr>
      <w:tr>
        <w:trPr>
          <w:cantSplit/>
        </w:trPr>
        <w:tc>
          <w:tcPr>
            <w:tcW w:type="dxa" w:w="1701"/>
            <w:vAlign w:val="top"/>
            <w:tcMar>
              <w:top w:w="60" w:type="dxa"/>
              <w:start w:w="60" w:type="dxa"/>
              <w:bottom w:w="60" w:type="dxa"/>
              <w:end w:w="60" w:type="dxa"/>
            </w:tcMar>
          </w:tcPr>
          <w:p>
            <w:pPr>
              <w:spacing w:after="0" w:before="0"/>
            </w:pPr>
            <w:r/>
            <w:r>
              <w:rPr>
                <w:rFonts w:ascii="Aptos" w:hAnsi="Aptos"/>
                <w:b/>
                <w:sz w:val="14"/>
              </w:rPr>
              <w:t>REQ-PERM</w:t>
            </w:r>
          </w:p>
        </w:tc>
        <w:tc>
          <w:tcPr>
            <w:tcW w:type="dxa" w:w="850"/>
            <w:vAlign w:val="top"/>
            <w:tcMar>
              <w:top w:w="60" w:type="dxa"/>
              <w:start w:w="60" w:type="dxa"/>
              <w:bottom w:w="60" w:type="dxa"/>
              <w:end w:w="60" w:type="dxa"/>
            </w:tcMar>
          </w:tcPr>
          <w:p>
            <w:pPr>
              <w:spacing w:after="0" w:before="0"/>
            </w:pPr>
            <w:r/>
            <w:r>
              <w:rPr>
                <w:rFonts w:ascii="Aptos" w:hAnsi="Aptos"/>
                <w:b w:val="0"/>
                <w:sz w:val="14"/>
              </w:rPr>
              <w:t>9</w:t>
            </w:r>
          </w:p>
        </w:tc>
        <w:tc>
          <w:tcPr>
            <w:tcW w:type="dxa" w:w="3458"/>
            <w:vAlign w:val="top"/>
            <w:tcMar>
              <w:top w:w="60" w:type="dxa"/>
              <w:start w:w="60" w:type="dxa"/>
              <w:bottom w:w="60" w:type="dxa"/>
              <w:end w:w="60" w:type="dxa"/>
            </w:tcMar>
          </w:tcPr>
          <w:p>
            <w:pPr>
              <w:spacing w:after="0" w:before="0"/>
            </w:pPr>
            <w:r/>
            <w:r>
              <w:rPr>
                <w:rFonts w:ascii="Aptos" w:hAnsi="Aptos"/>
                <w:b w:val="0"/>
                <w:sz w:val="14"/>
              </w:rPr>
              <w:t>Moteur de permissions</w:t>
            </w:r>
          </w:p>
        </w:tc>
        <w:tc>
          <w:tcPr>
            <w:tcW w:type="dxa" w:w="1871"/>
            <w:vAlign w:val="top"/>
            <w:tcMar>
              <w:top w:w="60" w:type="dxa"/>
              <w:start w:w="60" w:type="dxa"/>
              <w:bottom w:w="60" w:type="dxa"/>
              <w:end w:w="60" w:type="dxa"/>
            </w:tcMar>
            <w:shd w:fill="E2F0D9"/>
          </w:tcPr>
          <w:p>
            <w:pPr>
              <w:spacing w:after="0" w:before="0"/>
            </w:pPr>
            <w:r/>
            <w:r>
              <w:rPr>
                <w:rFonts w:ascii="Aptos" w:hAnsi="Aptos"/>
                <w:b/>
                <w:sz w:val="14"/>
              </w:rPr>
              <w:t>CONFORME</w:t>
            </w:r>
          </w:p>
        </w:tc>
        <w:tc>
          <w:tcPr>
            <w:tcW w:type="dxa" w:w="6973"/>
            <w:vAlign w:val="top"/>
            <w:tcMar>
              <w:top w:w="60" w:type="dxa"/>
              <w:start w:w="60" w:type="dxa"/>
              <w:bottom w:w="60" w:type="dxa"/>
              <w:end w:w="60" w:type="dxa"/>
            </w:tcMar>
          </w:tcPr>
          <w:p>
            <w:pPr>
              <w:spacing w:after="0" w:before="0"/>
            </w:pPr>
            <w:r/>
            <w:r>
              <w:rPr>
                <w:rFonts w:ascii="Aptos" w:hAnsi="Aptos"/>
                <w:b w:val="0"/>
                <w:sz w:val="14"/>
              </w:rPr>
              <w:t>PermissionEvaluator et views.py inspectés: OR des rôles, ordre des overwrites, owner/ADMINISTRATOR, View As, simple/expert, simulation.</w:t>
            </w:r>
          </w:p>
        </w:tc>
      </w:tr>
      <w:tr>
        <w:trPr>
          <w:cantSplit/>
        </w:trPr>
        <w:tc>
          <w:tcPr>
            <w:tcW w:type="dxa" w:w="1701"/>
            <w:vAlign w:val="top"/>
            <w:tcMar>
              <w:top w:w="60" w:type="dxa"/>
              <w:start w:w="60" w:type="dxa"/>
              <w:bottom w:w="60" w:type="dxa"/>
              <w:end w:w="60" w:type="dxa"/>
            </w:tcMar>
          </w:tcPr>
          <w:p>
            <w:pPr>
              <w:spacing w:after="0" w:before="0"/>
            </w:pPr>
            <w:r/>
            <w:r>
              <w:rPr>
                <w:rFonts w:ascii="Aptos" w:hAnsi="Aptos"/>
                <w:b/>
                <w:sz w:val="14"/>
              </w:rPr>
              <w:t>REQ-PLAN</w:t>
            </w:r>
          </w:p>
        </w:tc>
        <w:tc>
          <w:tcPr>
            <w:tcW w:type="dxa" w:w="850"/>
            <w:vAlign w:val="top"/>
            <w:tcMar>
              <w:top w:w="60" w:type="dxa"/>
              <w:start w:w="60" w:type="dxa"/>
              <w:bottom w:w="60" w:type="dxa"/>
              <w:end w:w="60" w:type="dxa"/>
            </w:tcMar>
          </w:tcPr>
          <w:p>
            <w:pPr>
              <w:spacing w:after="0" w:before="0"/>
            </w:pPr>
            <w:r/>
            <w:r>
              <w:rPr>
                <w:rFonts w:ascii="Aptos" w:hAnsi="Aptos"/>
                <w:b w:val="0"/>
                <w:sz w:val="14"/>
              </w:rPr>
              <w:t>16</w:t>
            </w:r>
          </w:p>
        </w:tc>
        <w:tc>
          <w:tcPr>
            <w:tcW w:type="dxa" w:w="3458"/>
            <w:vAlign w:val="top"/>
            <w:tcMar>
              <w:top w:w="60" w:type="dxa"/>
              <w:start w:w="60" w:type="dxa"/>
              <w:bottom w:w="60" w:type="dxa"/>
              <w:end w:w="60" w:type="dxa"/>
            </w:tcMar>
          </w:tcPr>
          <w:p>
            <w:pPr>
              <w:spacing w:after="0" w:before="0"/>
            </w:pPr>
            <w:r/>
            <w:r>
              <w:rPr>
                <w:rFonts w:ascii="Aptos" w:hAnsi="Aptos"/>
                <w:b w:val="0"/>
                <w:sz w:val="14"/>
              </w:rPr>
              <w:t>Planification / preflight / exécution</w:t>
            </w:r>
          </w:p>
        </w:tc>
        <w:tc>
          <w:tcPr>
            <w:tcW w:type="dxa" w:w="1871"/>
            <w:vAlign w:val="top"/>
            <w:tcMar>
              <w:top w:w="60" w:type="dxa"/>
              <w:start w:w="60" w:type="dxa"/>
              <w:bottom w:w="60" w:type="dxa"/>
              <w:end w:w="60" w:type="dxa"/>
            </w:tcMar>
            <w:shd w:fill="E2F0D9"/>
          </w:tcPr>
          <w:p>
            <w:pPr>
              <w:spacing w:after="0" w:before="0"/>
            </w:pPr>
            <w:r/>
            <w:r>
              <w:rPr>
                <w:rFonts w:ascii="Aptos" w:hAnsi="Aptos"/>
                <w:b/>
                <w:sz w:val="14"/>
              </w:rPr>
              <w:t>CONFORME</w:t>
            </w:r>
          </w:p>
        </w:tc>
        <w:tc>
          <w:tcPr>
            <w:tcW w:type="dxa" w:w="6973"/>
            <w:vAlign w:val="top"/>
            <w:tcMar>
              <w:top w:w="60" w:type="dxa"/>
              <w:start w:w="60" w:type="dxa"/>
              <w:bottom w:w="60" w:type="dxa"/>
              <w:end w:w="60" w:type="dxa"/>
            </w:tcMar>
          </w:tcPr>
          <w:p>
            <w:pPr>
              <w:spacing w:after="0" w:before="0"/>
            </w:pPr>
            <w:r/>
            <w:r>
              <w:rPr>
                <w:rFonts w:ascii="Aptos" w:hAnsi="Aptos"/>
                <w:b w:val="0"/>
                <w:sz w:val="14"/>
              </w:rPr>
              <w:t>PlanningService et planning/models.py inspectés: persistance, DAG, preflight, auth, locks, états, risques et impacts.</w:t>
            </w:r>
          </w:p>
        </w:tc>
      </w:tr>
      <w:tr>
        <w:trPr>
          <w:cantSplit/>
        </w:trPr>
        <w:tc>
          <w:tcPr>
            <w:tcW w:type="dxa" w:w="1701"/>
            <w:vAlign w:val="top"/>
            <w:tcMar>
              <w:top w:w="60" w:type="dxa"/>
              <w:start w:w="60" w:type="dxa"/>
              <w:bottom w:w="60" w:type="dxa"/>
              <w:end w:w="60" w:type="dxa"/>
            </w:tcMar>
          </w:tcPr>
          <w:p>
            <w:pPr>
              <w:spacing w:after="0" w:before="0"/>
            </w:pPr>
            <w:r/>
            <w:r>
              <w:rPr>
                <w:rFonts w:ascii="Aptos" w:hAnsi="Aptos"/>
                <w:b/>
                <w:sz w:val="14"/>
              </w:rPr>
              <w:t>REQ-DUP</w:t>
            </w:r>
          </w:p>
        </w:tc>
        <w:tc>
          <w:tcPr>
            <w:tcW w:type="dxa" w:w="850"/>
            <w:vAlign w:val="top"/>
            <w:tcMar>
              <w:top w:w="60" w:type="dxa"/>
              <w:start w:w="60" w:type="dxa"/>
              <w:bottom w:w="60" w:type="dxa"/>
              <w:end w:w="60" w:type="dxa"/>
            </w:tcMar>
          </w:tcPr>
          <w:p>
            <w:pPr>
              <w:spacing w:after="0" w:before="0"/>
            </w:pPr>
            <w:r/>
            <w:r>
              <w:rPr>
                <w:rFonts w:ascii="Aptos" w:hAnsi="Aptos"/>
                <w:b w:val="0"/>
                <w:sz w:val="14"/>
              </w:rPr>
              <w:t>19</w:t>
            </w:r>
          </w:p>
        </w:tc>
        <w:tc>
          <w:tcPr>
            <w:tcW w:type="dxa" w:w="3458"/>
            <w:vAlign w:val="top"/>
            <w:tcMar>
              <w:top w:w="60" w:type="dxa"/>
              <w:start w:w="60" w:type="dxa"/>
              <w:bottom w:w="60" w:type="dxa"/>
              <w:end w:w="60" w:type="dxa"/>
            </w:tcMar>
          </w:tcPr>
          <w:p>
            <w:pPr>
              <w:spacing w:after="0" w:before="0"/>
            </w:pPr>
            <w:r/>
            <w:r>
              <w:rPr>
                <w:rFonts w:ascii="Aptos" w:hAnsi="Aptos"/>
                <w:b w:val="0"/>
                <w:sz w:val="14"/>
              </w:rPr>
              <w:t>Portabilité / clonage</w:t>
            </w:r>
          </w:p>
        </w:tc>
        <w:tc>
          <w:tcPr>
            <w:tcW w:type="dxa" w:w="1871"/>
            <w:vAlign w:val="top"/>
            <w:tcMar>
              <w:top w:w="60" w:type="dxa"/>
              <w:start w:w="60" w:type="dxa"/>
              <w:bottom w:w="60" w:type="dxa"/>
              <w:end w:w="60" w:type="dxa"/>
            </w:tcMar>
            <w:shd w:fill="E7E6E6"/>
          </w:tcPr>
          <w:p>
            <w:pPr>
              <w:spacing w:after="0" w:before="0"/>
            </w:pPr>
            <w:r/>
            <w:r>
              <w:rPr>
                <w:rFonts w:ascii="Aptos" w:hAnsi="Aptos"/>
                <w:b/>
                <w:sz w:val="14"/>
              </w:rPr>
              <w:t>NON DÉMONTRÉ</w:t>
            </w:r>
          </w:p>
        </w:tc>
        <w:tc>
          <w:tcPr>
            <w:tcW w:type="dxa" w:w="6973"/>
            <w:vAlign w:val="top"/>
            <w:tcMar>
              <w:top w:w="60" w:type="dxa"/>
              <w:start w:w="60" w:type="dxa"/>
              <w:bottom w:w="60" w:type="dxa"/>
              <w:end w:w="60" w:type="dxa"/>
            </w:tcMar>
          </w:tcPr>
          <w:p>
            <w:pPr>
              <w:spacing w:after="0" w:before="0"/>
            </w:pPr>
            <w:r/>
            <w:r>
              <w:rPr>
                <w:rFonts w:ascii="Aptos" w:hAnsi="Aptos"/>
                <w:b w:val="0"/>
                <w:sz w:val="14"/>
              </w:rPr>
              <w:t>Arborescence et registre de traçabilité indiquent une implémentation importante, mais pipeline complet non réinspecté ici.</w:t>
            </w:r>
          </w:p>
        </w:tc>
      </w:tr>
      <w:tr>
        <w:trPr>
          <w:cantSplit/>
        </w:trPr>
        <w:tc>
          <w:tcPr>
            <w:tcW w:type="dxa" w:w="1701"/>
            <w:vAlign w:val="top"/>
            <w:tcMar>
              <w:top w:w="60" w:type="dxa"/>
              <w:start w:w="60" w:type="dxa"/>
              <w:bottom w:w="60" w:type="dxa"/>
              <w:end w:w="60" w:type="dxa"/>
            </w:tcMar>
          </w:tcPr>
          <w:p>
            <w:pPr>
              <w:spacing w:after="0" w:before="0"/>
            </w:pPr>
            <w:r/>
            <w:r>
              <w:rPr>
                <w:rFonts w:ascii="Aptos" w:hAnsi="Aptos"/>
                <w:b/>
                <w:sz w:val="14"/>
              </w:rPr>
              <w:t>REQ-BOT</w:t>
            </w:r>
          </w:p>
        </w:tc>
        <w:tc>
          <w:tcPr>
            <w:tcW w:type="dxa" w:w="850"/>
            <w:vAlign w:val="top"/>
            <w:tcMar>
              <w:top w:w="60" w:type="dxa"/>
              <w:start w:w="60" w:type="dxa"/>
              <w:bottom w:w="60" w:type="dxa"/>
              <w:end w:w="60" w:type="dxa"/>
            </w:tcMar>
          </w:tcPr>
          <w:p>
            <w:pPr>
              <w:spacing w:after="0" w:before="0"/>
            </w:pPr>
            <w:r/>
            <w:r>
              <w:rPr>
                <w:rFonts w:ascii="Aptos" w:hAnsi="Aptos"/>
                <w:b w:val="0"/>
                <w:sz w:val="14"/>
              </w:rPr>
              <w:t>7</w:t>
            </w:r>
          </w:p>
        </w:tc>
        <w:tc>
          <w:tcPr>
            <w:tcW w:type="dxa" w:w="3458"/>
            <w:vAlign w:val="top"/>
            <w:tcMar>
              <w:top w:w="60" w:type="dxa"/>
              <w:start w:w="60" w:type="dxa"/>
              <w:bottom w:w="60" w:type="dxa"/>
              <w:end w:w="60" w:type="dxa"/>
            </w:tcMar>
          </w:tcPr>
          <w:p>
            <w:pPr>
              <w:spacing w:after="0" w:before="0"/>
            </w:pPr>
            <w:r/>
            <w:r>
              <w:rPr>
                <w:rFonts w:ascii="Aptos" w:hAnsi="Aptos"/>
                <w:b w:val="0"/>
                <w:sz w:val="14"/>
              </w:rPr>
              <w:t>Gestion/capacités bot</w:t>
            </w:r>
          </w:p>
        </w:tc>
        <w:tc>
          <w:tcPr>
            <w:tcW w:type="dxa" w:w="1871"/>
            <w:vAlign w:val="top"/>
            <w:tcMar>
              <w:top w:w="60" w:type="dxa"/>
              <w:start w:w="60" w:type="dxa"/>
              <w:bottom w:w="60" w:type="dxa"/>
              <w:end w:w="60" w:type="dxa"/>
            </w:tcMar>
            <w:shd w:fill="FFF2CC"/>
          </w:tcPr>
          <w:p>
            <w:pPr>
              <w:spacing w:after="0" w:before="0"/>
            </w:pPr>
            <w:r/>
            <w:r>
              <w:rPr>
                <w:rFonts w:ascii="Aptos" w:hAnsi="Aptos"/>
                <w:b/>
                <w:sz w:val="14"/>
              </w:rPr>
              <w:t>PARTIEL</w:t>
            </w:r>
          </w:p>
        </w:tc>
        <w:tc>
          <w:tcPr>
            <w:tcW w:type="dxa" w:w="6973"/>
            <w:vAlign w:val="top"/>
            <w:tcMar>
              <w:top w:w="60" w:type="dxa"/>
              <w:start w:w="60" w:type="dxa"/>
              <w:bottom w:w="60" w:type="dxa"/>
              <w:end w:w="60" w:type="dxa"/>
            </w:tcMar>
          </w:tcPr>
          <w:p>
            <w:pPr>
              <w:spacing w:after="0" w:before="0"/>
            </w:pPr>
            <w:r/>
            <w:r>
              <w:rPr>
                <w:rFonts w:ascii="Aptos" w:hAnsi="Aptos"/>
                <w:b w:val="0"/>
                <w:sz w:val="14"/>
              </w:rPr>
              <w:t>Quelques primitives et exigences sont visibles; couverture UI complète non prouvée.</w:t>
            </w:r>
          </w:p>
        </w:tc>
      </w:tr>
      <w:tr>
        <w:trPr>
          <w:cantSplit/>
        </w:trPr>
        <w:tc>
          <w:tcPr>
            <w:tcW w:type="dxa" w:w="1701"/>
            <w:vAlign w:val="top"/>
            <w:tcMar>
              <w:top w:w="60" w:type="dxa"/>
              <w:start w:w="60" w:type="dxa"/>
              <w:bottom w:w="60" w:type="dxa"/>
              <w:end w:w="60" w:type="dxa"/>
            </w:tcMar>
          </w:tcPr>
          <w:p>
            <w:pPr>
              <w:spacing w:after="0" w:before="0"/>
            </w:pPr>
            <w:r/>
            <w:r>
              <w:rPr>
                <w:rFonts w:ascii="Aptos" w:hAnsi="Aptos"/>
                <w:b/>
                <w:sz w:val="14"/>
              </w:rPr>
              <w:t>REQ-AUTH</w:t>
            </w:r>
          </w:p>
        </w:tc>
        <w:tc>
          <w:tcPr>
            <w:tcW w:type="dxa" w:w="850"/>
            <w:vAlign w:val="top"/>
            <w:tcMar>
              <w:top w:w="60" w:type="dxa"/>
              <w:start w:w="60" w:type="dxa"/>
              <w:bottom w:w="60" w:type="dxa"/>
              <w:end w:w="60" w:type="dxa"/>
            </w:tcMar>
          </w:tcPr>
          <w:p>
            <w:pPr>
              <w:spacing w:after="0" w:before="0"/>
            </w:pPr>
            <w:r/>
            <w:r>
              <w:rPr>
                <w:rFonts w:ascii="Aptos" w:hAnsi="Aptos"/>
                <w:b w:val="0"/>
                <w:sz w:val="14"/>
              </w:rPr>
              <w:t>14</w:t>
            </w:r>
          </w:p>
        </w:tc>
        <w:tc>
          <w:tcPr>
            <w:tcW w:type="dxa" w:w="3458"/>
            <w:vAlign w:val="top"/>
            <w:tcMar>
              <w:top w:w="60" w:type="dxa"/>
              <w:start w:w="60" w:type="dxa"/>
              <w:bottom w:w="60" w:type="dxa"/>
              <w:end w:w="60" w:type="dxa"/>
            </w:tcMar>
          </w:tcPr>
          <w:p>
            <w:pPr>
              <w:spacing w:after="0" w:before="0"/>
            </w:pPr>
            <w:r/>
            <w:r>
              <w:rPr>
                <w:rFonts w:ascii="Aptos" w:hAnsi="Aptos"/>
                <w:b w:val="0"/>
                <w:sz w:val="14"/>
              </w:rPr>
              <w:t>OAuth2 / session / autorisation</w:t>
            </w:r>
          </w:p>
        </w:tc>
        <w:tc>
          <w:tcPr>
            <w:tcW w:type="dxa" w:w="1871"/>
            <w:vAlign w:val="top"/>
            <w:tcMar>
              <w:top w:w="60" w:type="dxa"/>
              <w:start w:w="60" w:type="dxa"/>
              <w:bottom w:w="60" w:type="dxa"/>
              <w:end w:w="60" w:type="dxa"/>
            </w:tcMar>
            <w:shd w:fill="E7E6E6"/>
          </w:tcPr>
          <w:p>
            <w:pPr>
              <w:spacing w:after="0" w:before="0"/>
            </w:pPr>
            <w:r/>
            <w:r>
              <w:rPr>
                <w:rFonts w:ascii="Aptos" w:hAnsi="Aptos"/>
                <w:b/>
                <w:sz w:val="14"/>
              </w:rPr>
              <w:t>NON DÉMONTRÉ</w:t>
            </w:r>
          </w:p>
        </w:tc>
        <w:tc>
          <w:tcPr>
            <w:tcW w:type="dxa" w:w="6973"/>
            <w:vAlign w:val="top"/>
            <w:tcMar>
              <w:top w:w="60" w:type="dxa"/>
              <w:start w:w="60" w:type="dxa"/>
              <w:bottom w:w="60" w:type="dxa"/>
              <w:end w:w="60" w:type="dxa"/>
            </w:tcMar>
          </w:tcPr>
          <w:p>
            <w:pPr>
              <w:spacing w:after="0" w:before="0"/>
            </w:pPr>
            <w:r/>
            <w:r>
              <w:rPr>
                <w:rFonts w:ascii="Aptos" w:hAnsi="Aptos"/>
                <w:b w:val="0"/>
                <w:sz w:val="14"/>
              </w:rPr>
              <w:t>Présence de modules auth/oauth, mais audit sécurité indépendant complet non reproduit.</w:t>
            </w:r>
          </w:p>
        </w:tc>
      </w:tr>
      <w:tr>
        <w:trPr>
          <w:cantSplit/>
        </w:trPr>
        <w:tc>
          <w:tcPr>
            <w:tcW w:type="dxa" w:w="1701"/>
            <w:vAlign w:val="top"/>
            <w:tcMar>
              <w:top w:w="60" w:type="dxa"/>
              <w:start w:w="60" w:type="dxa"/>
              <w:bottom w:w="60" w:type="dxa"/>
              <w:end w:w="60" w:type="dxa"/>
            </w:tcMar>
          </w:tcPr>
          <w:p>
            <w:pPr>
              <w:spacing w:after="0" w:before="0"/>
            </w:pPr>
            <w:r/>
            <w:r>
              <w:rPr>
                <w:rFonts w:ascii="Aptos" w:hAnsi="Aptos"/>
                <w:b/>
                <w:sz w:val="14"/>
              </w:rPr>
              <w:t>REQ-GW</w:t>
            </w:r>
          </w:p>
        </w:tc>
        <w:tc>
          <w:tcPr>
            <w:tcW w:type="dxa" w:w="850"/>
            <w:vAlign w:val="top"/>
            <w:tcMar>
              <w:top w:w="60" w:type="dxa"/>
              <w:start w:w="60" w:type="dxa"/>
              <w:bottom w:w="60" w:type="dxa"/>
              <w:end w:w="60" w:type="dxa"/>
            </w:tcMar>
          </w:tcPr>
          <w:p>
            <w:pPr>
              <w:spacing w:after="0" w:before="0"/>
            </w:pPr>
            <w:r/>
            <w:r>
              <w:rPr>
                <w:rFonts w:ascii="Aptos" w:hAnsi="Aptos"/>
                <w:b w:val="0"/>
                <w:sz w:val="14"/>
              </w:rPr>
              <w:t>8</w:t>
            </w:r>
          </w:p>
        </w:tc>
        <w:tc>
          <w:tcPr>
            <w:tcW w:type="dxa" w:w="3458"/>
            <w:vAlign w:val="top"/>
            <w:tcMar>
              <w:top w:w="60" w:type="dxa"/>
              <w:start w:w="60" w:type="dxa"/>
              <w:bottom w:w="60" w:type="dxa"/>
              <w:end w:w="60" w:type="dxa"/>
            </w:tcMar>
          </w:tcPr>
          <w:p>
            <w:pPr>
              <w:spacing w:after="0" w:before="0"/>
            </w:pPr>
            <w:r/>
            <w:r>
              <w:rPr>
                <w:rFonts w:ascii="Aptos" w:hAnsi="Aptos"/>
                <w:b w:val="0"/>
                <w:sz w:val="14"/>
              </w:rPr>
              <w:t>Gateway / intents / événements</w:t>
            </w:r>
          </w:p>
        </w:tc>
        <w:tc>
          <w:tcPr>
            <w:tcW w:type="dxa" w:w="1871"/>
            <w:vAlign w:val="top"/>
            <w:tcMar>
              <w:top w:w="60" w:type="dxa"/>
              <w:start w:w="60" w:type="dxa"/>
              <w:bottom w:w="60" w:type="dxa"/>
              <w:end w:w="60" w:type="dxa"/>
            </w:tcMar>
            <w:shd w:fill="E7E6E6"/>
          </w:tcPr>
          <w:p>
            <w:pPr>
              <w:spacing w:after="0" w:before="0"/>
            </w:pPr>
            <w:r/>
            <w:r>
              <w:rPr>
                <w:rFonts w:ascii="Aptos" w:hAnsi="Aptos"/>
                <w:b/>
                <w:sz w:val="14"/>
              </w:rPr>
              <w:t>NON DÉMONTRÉ</w:t>
            </w:r>
          </w:p>
        </w:tc>
        <w:tc>
          <w:tcPr>
            <w:tcW w:type="dxa" w:w="6973"/>
            <w:vAlign w:val="top"/>
            <w:tcMar>
              <w:top w:w="60" w:type="dxa"/>
              <w:start w:w="60" w:type="dxa"/>
              <w:bottom w:w="60" w:type="dxa"/>
              <w:end w:w="60" w:type="dxa"/>
            </w:tcMar>
          </w:tcPr>
          <w:p>
            <w:pPr>
              <w:spacing w:after="0" w:before="0"/>
            </w:pPr>
            <w:r/>
            <w:r>
              <w:rPr>
                <w:rFonts w:ascii="Aptos" w:hAnsi="Aptos"/>
                <w:b w:val="0"/>
                <w:sz w:val="14"/>
              </w:rPr>
              <w:t>Modules runtime/gateway présents; conformité détaillée non réinspectée.</w:t>
            </w:r>
          </w:p>
        </w:tc>
      </w:tr>
      <w:tr>
        <w:trPr>
          <w:cantSplit/>
        </w:trPr>
        <w:tc>
          <w:tcPr>
            <w:tcW w:type="dxa" w:w="1701"/>
            <w:vAlign w:val="top"/>
            <w:tcMar>
              <w:top w:w="60" w:type="dxa"/>
              <w:start w:w="60" w:type="dxa"/>
              <w:bottom w:w="60" w:type="dxa"/>
              <w:end w:w="60" w:type="dxa"/>
            </w:tcMar>
          </w:tcPr>
          <w:p>
            <w:pPr>
              <w:spacing w:after="0" w:before="0"/>
            </w:pPr>
            <w:r/>
            <w:r>
              <w:rPr>
                <w:rFonts w:ascii="Aptos" w:hAnsi="Aptos"/>
                <w:b/>
                <w:sz w:val="14"/>
              </w:rPr>
              <w:t>REQ-AUD</w:t>
            </w:r>
          </w:p>
        </w:tc>
        <w:tc>
          <w:tcPr>
            <w:tcW w:type="dxa" w:w="850"/>
            <w:vAlign w:val="top"/>
            <w:tcMar>
              <w:top w:w="60" w:type="dxa"/>
              <w:start w:w="60" w:type="dxa"/>
              <w:bottom w:w="60" w:type="dxa"/>
              <w:end w:w="60" w:type="dxa"/>
            </w:tcMar>
          </w:tcPr>
          <w:p>
            <w:pPr>
              <w:spacing w:after="0" w:before="0"/>
            </w:pPr>
            <w:r/>
            <w:r>
              <w:rPr>
                <w:rFonts w:ascii="Aptos" w:hAnsi="Aptos"/>
                <w:b w:val="0"/>
                <w:sz w:val="14"/>
              </w:rPr>
              <w:t>6</w:t>
            </w:r>
          </w:p>
        </w:tc>
        <w:tc>
          <w:tcPr>
            <w:tcW w:type="dxa" w:w="3458"/>
            <w:vAlign w:val="top"/>
            <w:tcMar>
              <w:top w:w="60" w:type="dxa"/>
              <w:start w:w="60" w:type="dxa"/>
              <w:bottom w:w="60" w:type="dxa"/>
              <w:end w:w="60" w:type="dxa"/>
            </w:tcMar>
          </w:tcPr>
          <w:p>
            <w:pPr>
              <w:spacing w:after="0" w:before="0"/>
            </w:pPr>
            <w:r/>
            <w:r>
              <w:rPr>
                <w:rFonts w:ascii="Aptos" w:hAnsi="Aptos"/>
                <w:b w:val="0"/>
                <w:sz w:val="14"/>
              </w:rPr>
              <w:t>Audit / corrélation</w:t>
            </w:r>
          </w:p>
        </w:tc>
        <w:tc>
          <w:tcPr>
            <w:tcW w:type="dxa" w:w="1871"/>
            <w:vAlign w:val="top"/>
            <w:tcMar>
              <w:top w:w="60" w:type="dxa"/>
              <w:start w:w="60" w:type="dxa"/>
              <w:bottom w:w="60" w:type="dxa"/>
              <w:end w:w="60" w:type="dxa"/>
            </w:tcMar>
            <w:shd w:fill="FFF2CC"/>
          </w:tcPr>
          <w:p>
            <w:pPr>
              <w:spacing w:after="0" w:before="0"/>
            </w:pPr>
            <w:r/>
            <w:r>
              <w:rPr>
                <w:rFonts w:ascii="Aptos" w:hAnsi="Aptos"/>
                <w:b/>
                <w:sz w:val="14"/>
              </w:rPr>
              <w:t>PARTIEL</w:t>
            </w:r>
          </w:p>
        </w:tc>
        <w:tc>
          <w:tcPr>
            <w:tcW w:type="dxa" w:w="6973"/>
            <w:vAlign w:val="top"/>
            <w:tcMar>
              <w:top w:w="60" w:type="dxa"/>
              <w:start w:w="60" w:type="dxa"/>
              <w:bottom w:w="60" w:type="dxa"/>
              <w:end w:w="60" w:type="dxa"/>
            </w:tcMar>
          </w:tcPr>
          <w:p>
            <w:pPr>
              <w:spacing w:after="0" w:before="0"/>
            </w:pPr>
            <w:r/>
            <w:r>
              <w:rPr>
                <w:rFonts w:ascii="Aptos" w:hAnsi="Aptos"/>
                <w:b w:val="0"/>
                <w:sz w:val="14"/>
              </w:rPr>
              <w:t>Plan lifecycle et journaux existent; couverture de toutes mutations non revalidée.</w:t>
            </w:r>
          </w:p>
        </w:tc>
      </w:tr>
      <w:tr>
        <w:trPr>
          <w:cantSplit/>
        </w:trPr>
        <w:tc>
          <w:tcPr>
            <w:tcW w:type="dxa" w:w="1701"/>
            <w:vAlign w:val="top"/>
            <w:tcMar>
              <w:top w:w="60" w:type="dxa"/>
              <w:start w:w="60" w:type="dxa"/>
              <w:bottom w:w="60" w:type="dxa"/>
              <w:end w:w="60" w:type="dxa"/>
            </w:tcMar>
          </w:tcPr>
          <w:p>
            <w:pPr>
              <w:spacing w:after="0" w:before="0"/>
            </w:pPr>
            <w:r/>
            <w:r>
              <w:rPr>
                <w:rFonts w:ascii="Aptos" w:hAnsi="Aptos"/>
                <w:b/>
                <w:sz w:val="14"/>
              </w:rPr>
              <w:t>REQ-DATA</w:t>
            </w:r>
          </w:p>
        </w:tc>
        <w:tc>
          <w:tcPr>
            <w:tcW w:type="dxa" w:w="850"/>
            <w:vAlign w:val="top"/>
            <w:tcMar>
              <w:top w:w="60" w:type="dxa"/>
              <w:start w:w="60" w:type="dxa"/>
              <w:bottom w:w="60" w:type="dxa"/>
              <w:end w:w="60" w:type="dxa"/>
            </w:tcMar>
          </w:tcPr>
          <w:p>
            <w:pPr>
              <w:spacing w:after="0" w:before="0"/>
            </w:pPr>
            <w:r/>
            <w:r>
              <w:rPr>
                <w:rFonts w:ascii="Aptos" w:hAnsi="Aptos"/>
                <w:b w:val="0"/>
                <w:sz w:val="14"/>
              </w:rPr>
              <w:t>2</w:t>
            </w:r>
          </w:p>
        </w:tc>
        <w:tc>
          <w:tcPr>
            <w:tcW w:type="dxa" w:w="3458"/>
            <w:vAlign w:val="top"/>
            <w:tcMar>
              <w:top w:w="60" w:type="dxa"/>
              <w:start w:w="60" w:type="dxa"/>
              <w:bottom w:w="60" w:type="dxa"/>
              <w:end w:w="60" w:type="dxa"/>
            </w:tcMar>
          </w:tcPr>
          <w:p>
            <w:pPr>
              <w:spacing w:after="0" w:before="0"/>
            </w:pPr>
            <w:r/>
            <w:r>
              <w:rPr>
                <w:rFonts w:ascii="Aptos" w:hAnsi="Aptos"/>
                <w:b w:val="0"/>
                <w:sz w:val="14"/>
              </w:rPr>
              <w:t>Données / rétention</w:t>
            </w:r>
          </w:p>
        </w:tc>
        <w:tc>
          <w:tcPr>
            <w:tcW w:type="dxa" w:w="1871"/>
            <w:vAlign w:val="top"/>
            <w:tcMar>
              <w:top w:w="60" w:type="dxa"/>
              <w:start w:w="60" w:type="dxa"/>
              <w:bottom w:w="60" w:type="dxa"/>
              <w:end w:w="60" w:type="dxa"/>
            </w:tcMar>
            <w:shd w:fill="E7E6E6"/>
          </w:tcPr>
          <w:p>
            <w:pPr>
              <w:spacing w:after="0" w:before="0"/>
            </w:pPr>
            <w:r/>
            <w:r>
              <w:rPr>
                <w:rFonts w:ascii="Aptos" w:hAnsi="Aptos"/>
                <w:b/>
                <w:sz w:val="14"/>
              </w:rPr>
              <w:t>NON DÉMONTRÉ</w:t>
            </w:r>
          </w:p>
        </w:tc>
        <w:tc>
          <w:tcPr>
            <w:tcW w:type="dxa" w:w="6973"/>
            <w:vAlign w:val="top"/>
            <w:tcMar>
              <w:top w:w="60" w:type="dxa"/>
              <w:start w:w="60" w:type="dxa"/>
              <w:bottom w:w="60" w:type="dxa"/>
              <w:end w:w="60" w:type="dxa"/>
            </w:tcMar>
          </w:tcPr>
          <w:p>
            <w:pPr>
              <w:spacing w:after="0" w:before="0"/>
            </w:pPr>
            <w:r/>
            <w:r>
              <w:rPr>
                <w:rFonts w:ascii="Aptos" w:hAnsi="Aptos"/>
                <w:b w:val="0"/>
                <w:sz w:val="14"/>
              </w:rPr>
              <w:t>Politique référencée, mais tests de purge non réexécutés dans cet audit.</w:t>
            </w:r>
          </w:p>
        </w:tc>
      </w:tr>
      <w:tr>
        <w:trPr>
          <w:cantSplit/>
        </w:trPr>
        <w:tc>
          <w:tcPr>
            <w:tcW w:type="dxa" w:w="1701"/>
            <w:vAlign w:val="top"/>
            <w:tcMar>
              <w:top w:w="60" w:type="dxa"/>
              <w:start w:w="60" w:type="dxa"/>
              <w:bottom w:w="60" w:type="dxa"/>
              <w:end w:w="60" w:type="dxa"/>
            </w:tcMar>
          </w:tcPr>
          <w:p>
            <w:pPr>
              <w:spacing w:after="0" w:before="0"/>
            </w:pPr>
            <w:r/>
            <w:r>
              <w:rPr>
                <w:rFonts w:ascii="Aptos" w:hAnsi="Aptos"/>
                <w:b/>
                <w:sz w:val="14"/>
              </w:rPr>
              <w:t>REQ-UX</w:t>
            </w:r>
          </w:p>
        </w:tc>
        <w:tc>
          <w:tcPr>
            <w:tcW w:type="dxa" w:w="850"/>
            <w:vAlign w:val="top"/>
            <w:tcMar>
              <w:top w:w="60" w:type="dxa"/>
              <w:start w:w="60" w:type="dxa"/>
              <w:bottom w:w="60" w:type="dxa"/>
              <w:end w:w="60" w:type="dxa"/>
            </w:tcMar>
          </w:tcPr>
          <w:p>
            <w:pPr>
              <w:spacing w:after="0" w:before="0"/>
            </w:pPr>
            <w:r/>
            <w:r>
              <w:rPr>
                <w:rFonts w:ascii="Aptos" w:hAnsi="Aptos"/>
                <w:b w:val="0"/>
                <w:sz w:val="14"/>
              </w:rPr>
              <w:t>7</w:t>
            </w:r>
          </w:p>
        </w:tc>
        <w:tc>
          <w:tcPr>
            <w:tcW w:type="dxa" w:w="3458"/>
            <w:vAlign w:val="top"/>
            <w:tcMar>
              <w:top w:w="60" w:type="dxa"/>
              <w:start w:w="60" w:type="dxa"/>
              <w:bottom w:w="60" w:type="dxa"/>
              <w:end w:w="60" w:type="dxa"/>
            </w:tcMar>
          </w:tcPr>
          <w:p>
            <w:pPr>
              <w:spacing w:after="0" w:before="0"/>
            </w:pPr>
            <w:r/>
            <w:r>
              <w:rPr>
                <w:rFonts w:ascii="Aptos" w:hAnsi="Aptos"/>
                <w:b w:val="0"/>
                <w:sz w:val="14"/>
              </w:rPr>
              <w:t>UX générique</w:t>
            </w:r>
          </w:p>
        </w:tc>
        <w:tc>
          <w:tcPr>
            <w:tcW w:type="dxa" w:w="1871"/>
            <w:vAlign w:val="top"/>
            <w:tcMar>
              <w:top w:w="60" w:type="dxa"/>
              <w:start w:w="60" w:type="dxa"/>
              <w:bottom w:w="60" w:type="dxa"/>
              <w:end w:w="60" w:type="dxa"/>
            </w:tcMar>
            <w:shd w:fill="FFF2CC"/>
          </w:tcPr>
          <w:p>
            <w:pPr>
              <w:spacing w:after="0" w:before="0"/>
            </w:pPr>
            <w:r/>
            <w:r>
              <w:rPr>
                <w:rFonts w:ascii="Aptos" w:hAnsi="Aptos"/>
                <w:b/>
                <w:sz w:val="14"/>
              </w:rPr>
              <w:t>PARTIEL</w:t>
            </w:r>
          </w:p>
        </w:tc>
        <w:tc>
          <w:tcPr>
            <w:tcW w:type="dxa" w:w="6973"/>
            <w:vAlign w:val="top"/>
            <w:tcMar>
              <w:top w:w="60" w:type="dxa"/>
              <w:start w:w="60" w:type="dxa"/>
              <w:bottom w:w="60" w:type="dxa"/>
              <w:end w:w="60" w:type="dxa"/>
            </w:tcMar>
          </w:tcPr>
          <w:p>
            <w:pPr>
              <w:spacing w:after="0" w:before="0"/>
            </w:pPr>
            <w:r/>
            <w:r>
              <w:rPr>
                <w:rFonts w:ascii="Aptos" w:hAnsi="Aptos"/>
                <w:b w:val="0"/>
                <w:sz w:val="14"/>
              </w:rPr>
              <w:t>Rôles, membres, permissions, plans et outbox ont des écrans; nouveaux besoins UX non couverts.</w:t>
            </w:r>
          </w:p>
        </w:tc>
      </w:tr>
      <w:tr>
        <w:trPr>
          <w:cantSplit/>
        </w:trPr>
        <w:tc>
          <w:tcPr>
            <w:tcW w:type="dxa" w:w="1701"/>
            <w:vAlign w:val="top"/>
            <w:tcMar>
              <w:top w:w="60" w:type="dxa"/>
              <w:start w:w="60" w:type="dxa"/>
              <w:bottom w:w="60" w:type="dxa"/>
              <w:end w:w="60" w:type="dxa"/>
            </w:tcMar>
          </w:tcPr>
          <w:p>
            <w:pPr>
              <w:spacing w:after="0" w:before="0"/>
            </w:pPr>
            <w:r/>
            <w:r>
              <w:rPr>
                <w:rFonts w:ascii="Aptos" w:hAnsi="Aptos"/>
                <w:b/>
                <w:sz w:val="14"/>
              </w:rPr>
              <w:t>REQ-UX-CTX</w:t>
            </w:r>
          </w:p>
        </w:tc>
        <w:tc>
          <w:tcPr>
            <w:tcW w:type="dxa" w:w="850"/>
            <w:vAlign w:val="top"/>
            <w:tcMar>
              <w:top w:w="60" w:type="dxa"/>
              <w:start w:w="60" w:type="dxa"/>
              <w:bottom w:w="60" w:type="dxa"/>
              <w:end w:w="60" w:type="dxa"/>
            </w:tcMar>
          </w:tcPr>
          <w:p>
            <w:pPr>
              <w:spacing w:after="0" w:before="0"/>
            </w:pPr>
            <w:r/>
            <w:r>
              <w:rPr>
                <w:rFonts w:ascii="Aptos" w:hAnsi="Aptos"/>
                <w:b w:val="0"/>
                <w:sz w:val="14"/>
              </w:rPr>
              <w:t>5</w:t>
            </w:r>
          </w:p>
        </w:tc>
        <w:tc>
          <w:tcPr>
            <w:tcW w:type="dxa" w:w="3458"/>
            <w:vAlign w:val="top"/>
            <w:tcMar>
              <w:top w:w="60" w:type="dxa"/>
              <w:start w:w="60" w:type="dxa"/>
              <w:bottom w:w="60" w:type="dxa"/>
              <w:end w:w="60" w:type="dxa"/>
            </w:tcMar>
          </w:tcPr>
          <w:p>
            <w:pPr>
              <w:spacing w:after="0" w:before="0"/>
            </w:pPr>
            <w:r/>
            <w:r>
              <w:rPr>
                <w:rFonts w:ascii="Aptos" w:hAnsi="Aptos"/>
                <w:b w:val="0"/>
                <w:sz w:val="14"/>
              </w:rPr>
              <w:t>Menus contextuels</w:t>
            </w:r>
          </w:p>
        </w:tc>
        <w:tc>
          <w:tcPr>
            <w:tcW w:type="dxa" w:w="1871"/>
            <w:vAlign w:val="top"/>
            <w:tcMar>
              <w:top w:w="60" w:type="dxa"/>
              <w:start w:w="60" w:type="dxa"/>
              <w:bottom w:w="60" w:type="dxa"/>
              <w:end w:w="60" w:type="dxa"/>
            </w:tcMar>
            <w:shd w:fill="E7E6E6"/>
          </w:tcPr>
          <w:p>
            <w:pPr>
              <w:spacing w:after="0" w:before="0"/>
            </w:pPr>
            <w:r/>
            <w:r>
              <w:rPr>
                <w:rFonts w:ascii="Aptos" w:hAnsi="Aptos"/>
                <w:b/>
                <w:sz w:val="14"/>
              </w:rPr>
              <w:t>NON DÉMONTRÉ</w:t>
            </w:r>
          </w:p>
        </w:tc>
        <w:tc>
          <w:tcPr>
            <w:tcW w:type="dxa" w:w="6973"/>
            <w:vAlign w:val="top"/>
            <w:tcMar>
              <w:top w:w="60" w:type="dxa"/>
              <w:start w:w="60" w:type="dxa"/>
              <w:bottom w:w="60" w:type="dxa"/>
              <w:end w:w="60" w:type="dxa"/>
            </w:tcMar>
          </w:tcPr>
          <w:p>
            <w:pPr>
              <w:spacing w:after="0" w:before="0"/>
            </w:pPr>
            <w:r/>
            <w:r>
              <w:rPr>
                <w:rFonts w:ascii="Aptos" w:hAnsi="Aptos"/>
                <w:b w:val="0"/>
                <w:sz w:val="14"/>
              </w:rPr>
              <w:t>Déclaré vérifié par le registre; pas de réinspection approfondie des gestes/pointeurs ici.</w:t>
            </w:r>
          </w:p>
        </w:tc>
      </w:tr>
      <w:tr>
        <w:trPr>
          <w:cantSplit/>
        </w:trPr>
        <w:tc>
          <w:tcPr>
            <w:tcW w:type="dxa" w:w="1701"/>
            <w:vAlign w:val="top"/>
            <w:tcMar>
              <w:top w:w="60" w:type="dxa"/>
              <w:start w:w="60" w:type="dxa"/>
              <w:bottom w:w="60" w:type="dxa"/>
              <w:end w:w="60" w:type="dxa"/>
            </w:tcMar>
          </w:tcPr>
          <w:p>
            <w:pPr>
              <w:spacing w:after="0" w:before="0"/>
            </w:pPr>
            <w:r/>
            <w:r>
              <w:rPr>
                <w:rFonts w:ascii="Aptos" w:hAnsi="Aptos"/>
                <w:b/>
                <w:sz w:val="14"/>
              </w:rPr>
              <w:t>REQ-I18N</w:t>
            </w:r>
          </w:p>
        </w:tc>
        <w:tc>
          <w:tcPr>
            <w:tcW w:type="dxa" w:w="850"/>
            <w:vAlign w:val="top"/>
            <w:tcMar>
              <w:top w:w="60" w:type="dxa"/>
              <w:start w:w="60" w:type="dxa"/>
              <w:bottom w:w="60" w:type="dxa"/>
              <w:end w:w="60" w:type="dxa"/>
            </w:tcMar>
          </w:tcPr>
          <w:p>
            <w:pPr>
              <w:spacing w:after="0" w:before="0"/>
            </w:pPr>
            <w:r/>
            <w:r>
              <w:rPr>
                <w:rFonts w:ascii="Aptos" w:hAnsi="Aptos"/>
                <w:b w:val="0"/>
                <w:sz w:val="14"/>
              </w:rPr>
              <w:t>43</w:t>
            </w:r>
          </w:p>
        </w:tc>
        <w:tc>
          <w:tcPr>
            <w:tcW w:type="dxa" w:w="3458"/>
            <w:vAlign w:val="top"/>
            <w:tcMar>
              <w:top w:w="60" w:type="dxa"/>
              <w:start w:w="60" w:type="dxa"/>
              <w:bottom w:w="60" w:type="dxa"/>
              <w:end w:w="60" w:type="dxa"/>
            </w:tcMar>
          </w:tcPr>
          <w:p>
            <w:pPr>
              <w:spacing w:after="0" w:before="0"/>
            </w:pPr>
            <w:r/>
            <w:r>
              <w:rPr>
                <w:rFonts w:ascii="Aptos" w:hAnsi="Aptos"/>
                <w:b w:val="0"/>
                <w:sz w:val="14"/>
              </w:rPr>
              <w:t>Topologie multilingue</w:t>
            </w:r>
          </w:p>
        </w:tc>
        <w:tc>
          <w:tcPr>
            <w:tcW w:type="dxa" w:w="1871"/>
            <w:vAlign w:val="top"/>
            <w:tcMar>
              <w:top w:w="60" w:type="dxa"/>
              <w:start w:w="60" w:type="dxa"/>
              <w:bottom w:w="60" w:type="dxa"/>
              <w:end w:w="60" w:type="dxa"/>
            </w:tcMar>
            <w:shd w:fill="E7E6E6"/>
          </w:tcPr>
          <w:p>
            <w:pPr>
              <w:spacing w:after="0" w:before="0"/>
            </w:pPr>
            <w:r/>
            <w:r>
              <w:rPr>
                <w:rFonts w:ascii="Aptos" w:hAnsi="Aptos"/>
                <w:b/>
                <w:sz w:val="14"/>
              </w:rPr>
              <w:t>NON DÉMONTRÉ</w:t>
            </w:r>
          </w:p>
        </w:tc>
        <w:tc>
          <w:tcPr>
            <w:tcW w:type="dxa" w:w="6973"/>
            <w:vAlign w:val="top"/>
            <w:tcMar>
              <w:top w:w="60" w:type="dxa"/>
              <w:start w:w="60" w:type="dxa"/>
              <w:bottom w:w="60" w:type="dxa"/>
              <w:end w:w="60" w:type="dxa"/>
            </w:tcMar>
          </w:tcPr>
          <w:p>
            <w:pPr>
              <w:spacing w:after="0" w:before="0"/>
            </w:pPr>
            <w:r/>
            <w:r>
              <w:rPr>
                <w:rFonts w:ascii="Aptos" w:hAnsi="Aptos"/>
                <w:b w:val="0"/>
                <w:sz w:val="14"/>
              </w:rPr>
              <w:t>Modules et exigences nombreuses, mais audit de conformité complet non reproduit.</w:t>
            </w:r>
          </w:p>
        </w:tc>
      </w:tr>
      <w:tr>
        <w:trPr>
          <w:cantSplit/>
        </w:trPr>
        <w:tc>
          <w:tcPr>
            <w:tcW w:type="dxa" w:w="1701"/>
            <w:vAlign w:val="top"/>
            <w:tcMar>
              <w:top w:w="60" w:type="dxa"/>
              <w:start w:w="60" w:type="dxa"/>
              <w:bottom w:w="60" w:type="dxa"/>
              <w:end w:w="60" w:type="dxa"/>
            </w:tcMar>
          </w:tcPr>
          <w:p>
            <w:pPr>
              <w:spacing w:after="0" w:before="0"/>
            </w:pPr>
            <w:r/>
            <w:r>
              <w:rPr>
                <w:rFonts w:ascii="Aptos" w:hAnsi="Aptos"/>
                <w:b/>
                <w:sz w:val="14"/>
              </w:rPr>
              <w:t>REQ-CACHE</w:t>
            </w:r>
          </w:p>
        </w:tc>
        <w:tc>
          <w:tcPr>
            <w:tcW w:type="dxa" w:w="850"/>
            <w:vAlign w:val="top"/>
            <w:tcMar>
              <w:top w:w="60" w:type="dxa"/>
              <w:start w:w="60" w:type="dxa"/>
              <w:bottom w:w="60" w:type="dxa"/>
              <w:end w:w="60" w:type="dxa"/>
            </w:tcMar>
          </w:tcPr>
          <w:p>
            <w:pPr>
              <w:spacing w:after="0" w:before="0"/>
            </w:pPr>
            <w:r/>
            <w:r>
              <w:rPr>
                <w:rFonts w:ascii="Aptos" w:hAnsi="Aptos"/>
                <w:b w:val="0"/>
                <w:sz w:val="14"/>
              </w:rPr>
              <w:t>13</w:t>
            </w:r>
          </w:p>
        </w:tc>
        <w:tc>
          <w:tcPr>
            <w:tcW w:type="dxa" w:w="3458"/>
            <w:vAlign w:val="top"/>
            <w:tcMar>
              <w:top w:w="60" w:type="dxa"/>
              <w:start w:w="60" w:type="dxa"/>
              <w:bottom w:w="60" w:type="dxa"/>
              <w:end w:w="60" w:type="dxa"/>
            </w:tcMar>
          </w:tcPr>
          <w:p>
            <w:pPr>
              <w:spacing w:after="0" w:before="0"/>
            </w:pPr>
            <w:r/>
            <w:r>
              <w:rPr>
                <w:rFonts w:ascii="Aptos" w:hAnsi="Aptos"/>
                <w:b w:val="0"/>
                <w:sz w:val="14"/>
              </w:rPr>
              <w:t>Cache / réconciliation</w:t>
            </w:r>
          </w:p>
        </w:tc>
        <w:tc>
          <w:tcPr>
            <w:tcW w:type="dxa" w:w="1871"/>
            <w:vAlign w:val="top"/>
            <w:tcMar>
              <w:top w:w="60" w:type="dxa"/>
              <w:start w:w="60" w:type="dxa"/>
              <w:bottom w:w="60" w:type="dxa"/>
              <w:end w:w="60" w:type="dxa"/>
            </w:tcMar>
            <w:shd w:fill="E7E6E6"/>
          </w:tcPr>
          <w:p>
            <w:pPr>
              <w:spacing w:after="0" w:before="0"/>
            </w:pPr>
            <w:r/>
            <w:r>
              <w:rPr>
                <w:rFonts w:ascii="Aptos" w:hAnsi="Aptos"/>
                <w:b/>
                <w:sz w:val="14"/>
              </w:rPr>
              <w:t>NON DÉMONTRÉ</w:t>
            </w:r>
          </w:p>
        </w:tc>
        <w:tc>
          <w:tcPr>
            <w:tcW w:type="dxa" w:w="6973"/>
            <w:vAlign w:val="top"/>
            <w:tcMar>
              <w:top w:w="60" w:type="dxa"/>
              <w:start w:w="60" w:type="dxa"/>
              <w:bottom w:w="60" w:type="dxa"/>
              <w:end w:w="60" w:type="dxa"/>
            </w:tcMar>
          </w:tcPr>
          <w:p>
            <w:pPr>
              <w:spacing w:after="0" w:before="0"/>
            </w:pPr>
            <w:r/>
            <w:r>
              <w:rPr>
                <w:rFonts w:ascii="Aptos" w:hAnsi="Aptos"/>
                <w:b w:val="0"/>
                <w:sz w:val="14"/>
              </w:rPr>
              <w:t>Modules runtime/cache présents; tests de cohérence non réexécutés.</w:t>
            </w:r>
          </w:p>
        </w:tc>
      </w:tr>
      <w:tr>
        <w:trPr>
          <w:cantSplit/>
        </w:trPr>
        <w:tc>
          <w:tcPr>
            <w:tcW w:type="dxa" w:w="1701"/>
            <w:vAlign w:val="top"/>
            <w:tcMar>
              <w:top w:w="60" w:type="dxa"/>
              <w:start w:w="60" w:type="dxa"/>
              <w:bottom w:w="60" w:type="dxa"/>
              <w:end w:w="60" w:type="dxa"/>
            </w:tcMar>
          </w:tcPr>
          <w:p>
            <w:pPr>
              <w:spacing w:after="0" w:before="0"/>
            </w:pPr>
            <w:r/>
            <w:r>
              <w:rPr>
                <w:rFonts w:ascii="Aptos" w:hAnsi="Aptos"/>
                <w:b/>
                <w:sz w:val="14"/>
              </w:rPr>
              <w:t>REQ-RATE</w:t>
            </w:r>
          </w:p>
        </w:tc>
        <w:tc>
          <w:tcPr>
            <w:tcW w:type="dxa" w:w="850"/>
            <w:vAlign w:val="top"/>
            <w:tcMar>
              <w:top w:w="60" w:type="dxa"/>
              <w:start w:w="60" w:type="dxa"/>
              <w:bottom w:w="60" w:type="dxa"/>
              <w:end w:w="60" w:type="dxa"/>
            </w:tcMar>
          </w:tcPr>
          <w:p>
            <w:pPr>
              <w:spacing w:after="0" w:before="0"/>
            </w:pPr>
            <w:r/>
            <w:r>
              <w:rPr>
                <w:rFonts w:ascii="Aptos" w:hAnsi="Aptos"/>
                <w:b w:val="0"/>
                <w:sz w:val="14"/>
              </w:rPr>
              <w:t>6</w:t>
            </w:r>
          </w:p>
        </w:tc>
        <w:tc>
          <w:tcPr>
            <w:tcW w:type="dxa" w:w="3458"/>
            <w:vAlign w:val="top"/>
            <w:tcMar>
              <w:top w:w="60" w:type="dxa"/>
              <w:start w:w="60" w:type="dxa"/>
              <w:bottom w:w="60" w:type="dxa"/>
              <w:end w:w="60" w:type="dxa"/>
            </w:tcMar>
          </w:tcPr>
          <w:p>
            <w:pPr>
              <w:spacing w:after="0" w:before="0"/>
            </w:pPr>
            <w:r/>
            <w:r>
              <w:rPr>
                <w:rFonts w:ascii="Aptos" w:hAnsi="Aptos"/>
                <w:b w:val="0"/>
                <w:sz w:val="14"/>
              </w:rPr>
              <w:t>Rate limiting / backpressure</w:t>
            </w:r>
          </w:p>
        </w:tc>
        <w:tc>
          <w:tcPr>
            <w:tcW w:type="dxa" w:w="1871"/>
            <w:vAlign w:val="top"/>
            <w:tcMar>
              <w:top w:w="60" w:type="dxa"/>
              <w:start w:w="60" w:type="dxa"/>
              <w:bottom w:w="60" w:type="dxa"/>
              <w:end w:w="60" w:type="dxa"/>
            </w:tcMar>
            <w:shd w:fill="E7E6E6"/>
          </w:tcPr>
          <w:p>
            <w:pPr>
              <w:spacing w:after="0" w:before="0"/>
            </w:pPr>
            <w:r/>
            <w:r>
              <w:rPr>
                <w:rFonts w:ascii="Aptos" w:hAnsi="Aptos"/>
                <w:b/>
                <w:sz w:val="14"/>
              </w:rPr>
              <w:t>NON DÉMONTRÉ</w:t>
            </w:r>
          </w:p>
        </w:tc>
        <w:tc>
          <w:tcPr>
            <w:tcW w:type="dxa" w:w="6973"/>
            <w:vAlign w:val="top"/>
            <w:tcMar>
              <w:top w:w="60" w:type="dxa"/>
              <w:start w:w="60" w:type="dxa"/>
              <w:bottom w:w="60" w:type="dxa"/>
              <w:end w:w="60" w:type="dxa"/>
            </w:tcMar>
          </w:tcPr>
          <w:p>
            <w:pPr>
              <w:spacing w:after="0" w:before="0"/>
            </w:pPr>
            <w:r/>
            <w:r>
              <w:rPr>
                <w:rFonts w:ascii="Aptos" w:hAnsi="Aptos"/>
                <w:b w:val="0"/>
                <w:sz w:val="14"/>
              </w:rPr>
              <w:t>Gouvernance runtime présente; comportement global non réinspecté.</w:t>
            </w:r>
          </w:p>
        </w:tc>
      </w:tr>
      <w:tr>
        <w:trPr>
          <w:cantSplit/>
        </w:trPr>
        <w:tc>
          <w:tcPr>
            <w:tcW w:type="dxa" w:w="1701"/>
            <w:vAlign w:val="top"/>
            <w:tcMar>
              <w:top w:w="60" w:type="dxa"/>
              <w:start w:w="60" w:type="dxa"/>
              <w:bottom w:w="60" w:type="dxa"/>
              <w:end w:w="60" w:type="dxa"/>
            </w:tcMar>
          </w:tcPr>
          <w:p>
            <w:pPr>
              <w:spacing w:after="0" w:before="0"/>
            </w:pPr>
            <w:r/>
            <w:r>
              <w:rPr>
                <w:rFonts w:ascii="Aptos" w:hAnsi="Aptos"/>
                <w:b/>
                <w:sz w:val="14"/>
              </w:rPr>
              <w:t>REQ-UI18N</w:t>
            </w:r>
          </w:p>
        </w:tc>
        <w:tc>
          <w:tcPr>
            <w:tcW w:type="dxa" w:w="850"/>
            <w:vAlign w:val="top"/>
            <w:tcMar>
              <w:top w:w="60" w:type="dxa"/>
              <w:start w:w="60" w:type="dxa"/>
              <w:bottom w:w="60" w:type="dxa"/>
              <w:end w:w="60" w:type="dxa"/>
            </w:tcMar>
          </w:tcPr>
          <w:p>
            <w:pPr>
              <w:spacing w:after="0" w:before="0"/>
            </w:pPr>
            <w:r/>
            <w:r>
              <w:rPr>
                <w:rFonts w:ascii="Aptos" w:hAnsi="Aptos"/>
                <w:b w:val="0"/>
                <w:sz w:val="14"/>
              </w:rPr>
              <w:t>21</w:t>
            </w:r>
          </w:p>
        </w:tc>
        <w:tc>
          <w:tcPr>
            <w:tcW w:type="dxa" w:w="3458"/>
            <w:vAlign w:val="top"/>
            <w:tcMar>
              <w:top w:w="60" w:type="dxa"/>
              <w:start w:w="60" w:type="dxa"/>
              <w:bottom w:w="60" w:type="dxa"/>
              <w:end w:w="60" w:type="dxa"/>
            </w:tcMar>
          </w:tcPr>
          <w:p>
            <w:pPr>
              <w:spacing w:after="0" w:before="0"/>
            </w:pPr>
            <w:r/>
            <w:r>
              <w:rPr>
                <w:rFonts w:ascii="Aptos" w:hAnsi="Aptos"/>
                <w:b w:val="0"/>
                <w:sz w:val="14"/>
              </w:rPr>
              <w:t>Internationalisation UI</w:t>
            </w:r>
          </w:p>
        </w:tc>
        <w:tc>
          <w:tcPr>
            <w:tcW w:type="dxa" w:w="1871"/>
            <w:vAlign w:val="top"/>
            <w:tcMar>
              <w:top w:w="60" w:type="dxa"/>
              <w:start w:w="60" w:type="dxa"/>
              <w:bottom w:w="60" w:type="dxa"/>
              <w:end w:w="60" w:type="dxa"/>
            </w:tcMar>
            <w:shd w:fill="FFF2CC"/>
          </w:tcPr>
          <w:p>
            <w:pPr>
              <w:spacing w:after="0" w:before="0"/>
            </w:pPr>
            <w:r/>
            <w:r>
              <w:rPr>
                <w:rFonts w:ascii="Aptos" w:hAnsi="Aptos"/>
                <w:b/>
                <w:sz w:val="14"/>
              </w:rPr>
              <w:t>PARTIEL</w:t>
            </w:r>
          </w:p>
        </w:tc>
        <w:tc>
          <w:tcPr>
            <w:tcW w:type="dxa" w:w="6973"/>
            <w:vAlign w:val="top"/>
            <w:tcMar>
              <w:top w:w="60" w:type="dxa"/>
              <w:start w:w="60" w:type="dxa"/>
              <w:bottom w:w="60" w:type="dxa"/>
              <w:end w:w="60" w:type="dxa"/>
            </w:tcMar>
          </w:tcPr>
          <w:p>
            <w:pPr>
              <w:spacing w:after="0" w:before="0"/>
            </w:pPr>
            <w:r/>
            <w:r>
              <w:rPr>
                <w:rFonts w:ascii="Aptos" w:hAnsi="Aptos"/>
                <w:b w:val="0"/>
                <w:sz w:val="14"/>
              </w:rPr>
              <w:t>Catalogue/localization présents et usages de traduction observés; couverture 100 % non recalculée.</w:t>
            </w:r>
          </w:p>
        </w:tc>
      </w:tr>
      <w:tr>
        <w:trPr>
          <w:cantSplit/>
        </w:trPr>
        <w:tc>
          <w:tcPr>
            <w:tcW w:type="dxa" w:w="1701"/>
            <w:vAlign w:val="top"/>
            <w:tcMar>
              <w:top w:w="60" w:type="dxa"/>
              <w:start w:w="60" w:type="dxa"/>
              <w:bottom w:w="60" w:type="dxa"/>
              <w:end w:w="60" w:type="dxa"/>
            </w:tcMar>
          </w:tcPr>
          <w:p>
            <w:pPr>
              <w:spacing w:after="0" w:before="0"/>
            </w:pPr>
            <w:r/>
            <w:r>
              <w:rPr>
                <w:rFonts w:ascii="Aptos" w:hAnsi="Aptos"/>
                <w:b/>
                <w:sz w:val="14"/>
              </w:rPr>
              <w:t>REQ-MSG</w:t>
            </w:r>
          </w:p>
        </w:tc>
        <w:tc>
          <w:tcPr>
            <w:tcW w:type="dxa" w:w="850"/>
            <w:vAlign w:val="top"/>
            <w:tcMar>
              <w:top w:w="60" w:type="dxa"/>
              <w:start w:w="60" w:type="dxa"/>
              <w:bottom w:w="60" w:type="dxa"/>
              <w:end w:w="60" w:type="dxa"/>
            </w:tcMar>
          </w:tcPr>
          <w:p>
            <w:pPr>
              <w:spacing w:after="0" w:before="0"/>
            </w:pPr>
            <w:r/>
            <w:r>
              <w:rPr>
                <w:rFonts w:ascii="Aptos" w:hAnsi="Aptos"/>
                <w:b w:val="0"/>
                <w:sz w:val="14"/>
              </w:rPr>
              <w:t>31</w:t>
            </w:r>
          </w:p>
        </w:tc>
        <w:tc>
          <w:tcPr>
            <w:tcW w:type="dxa" w:w="3458"/>
            <w:vAlign w:val="top"/>
            <w:tcMar>
              <w:top w:w="60" w:type="dxa"/>
              <w:start w:w="60" w:type="dxa"/>
              <w:bottom w:w="60" w:type="dxa"/>
              <w:end w:w="60" w:type="dxa"/>
            </w:tcMar>
          </w:tcPr>
          <w:p>
            <w:pPr>
              <w:spacing w:after="0" w:before="0"/>
            </w:pPr>
            <w:r/>
            <w:r>
              <w:rPr>
                <w:rFonts w:ascii="Aptos" w:hAnsi="Aptos"/>
                <w:b w:val="0"/>
                <w:sz w:val="14"/>
              </w:rPr>
              <w:t>Campaigns / messagerie</w:t>
            </w:r>
          </w:p>
        </w:tc>
        <w:tc>
          <w:tcPr>
            <w:tcW w:type="dxa" w:w="1871"/>
            <w:vAlign w:val="top"/>
            <w:tcMar>
              <w:top w:w="60" w:type="dxa"/>
              <w:start w:w="60" w:type="dxa"/>
              <w:bottom w:w="60" w:type="dxa"/>
              <w:end w:w="60" w:type="dxa"/>
            </w:tcMar>
            <w:shd w:fill="FFF2CC"/>
          </w:tcPr>
          <w:p>
            <w:pPr>
              <w:spacing w:after="0" w:before="0"/>
            </w:pPr>
            <w:r/>
            <w:r>
              <w:rPr>
                <w:rFonts w:ascii="Aptos" w:hAnsi="Aptos"/>
                <w:b/>
                <w:sz w:val="14"/>
              </w:rPr>
              <w:t>PARTIEL</w:t>
            </w:r>
          </w:p>
        </w:tc>
        <w:tc>
          <w:tcPr>
            <w:tcW w:type="dxa" w:w="6973"/>
            <w:vAlign w:val="top"/>
            <w:tcMar>
              <w:top w:w="60" w:type="dxa"/>
              <w:start w:w="60" w:type="dxa"/>
              <w:bottom w:w="60" w:type="dxa"/>
              <w:end w:w="60" w:type="dxa"/>
            </w:tcMar>
          </w:tcPr>
          <w:p>
            <w:pPr>
              <w:spacing w:after="0" w:before="0"/>
            </w:pPr>
            <w:r/>
            <w:r>
              <w:rPr>
                <w:rFonts w:ascii="Aptos" w:hAnsi="Aptos"/>
                <w:b w:val="0"/>
                <w:sz w:val="14"/>
              </w:rPr>
              <w:t>Sous-système très développé; policies spécialisées inspectées, mais 31 exigences non réauditées individuellement.</w:t>
            </w:r>
          </w:p>
        </w:tc>
      </w:tr>
      <w:tr>
        <w:trPr>
          <w:cantSplit/>
        </w:trPr>
        <w:tc>
          <w:tcPr>
            <w:tcW w:type="dxa" w:w="1701"/>
            <w:vAlign w:val="top"/>
            <w:tcMar>
              <w:top w:w="60" w:type="dxa"/>
              <w:start w:w="60" w:type="dxa"/>
              <w:bottom w:w="60" w:type="dxa"/>
              <w:end w:w="60" w:type="dxa"/>
            </w:tcMar>
          </w:tcPr>
          <w:p>
            <w:pPr>
              <w:spacing w:after="0" w:before="0"/>
            </w:pPr>
            <w:r/>
            <w:r>
              <w:rPr>
                <w:rFonts w:ascii="Aptos" w:hAnsi="Aptos"/>
                <w:b/>
                <w:sz w:val="14"/>
              </w:rPr>
              <w:t>REQ-TEST</w:t>
            </w:r>
          </w:p>
        </w:tc>
        <w:tc>
          <w:tcPr>
            <w:tcW w:type="dxa" w:w="850"/>
            <w:vAlign w:val="top"/>
            <w:tcMar>
              <w:top w:w="60" w:type="dxa"/>
              <w:start w:w="60" w:type="dxa"/>
              <w:bottom w:w="60" w:type="dxa"/>
              <w:end w:w="60" w:type="dxa"/>
            </w:tcMar>
          </w:tcPr>
          <w:p>
            <w:pPr>
              <w:spacing w:after="0" w:before="0"/>
            </w:pPr>
            <w:r/>
            <w:r>
              <w:rPr>
                <w:rFonts w:ascii="Aptos" w:hAnsi="Aptos"/>
                <w:b w:val="0"/>
                <w:sz w:val="14"/>
              </w:rPr>
              <w:t>5</w:t>
            </w:r>
          </w:p>
        </w:tc>
        <w:tc>
          <w:tcPr>
            <w:tcW w:type="dxa" w:w="3458"/>
            <w:vAlign w:val="top"/>
            <w:tcMar>
              <w:top w:w="60" w:type="dxa"/>
              <w:start w:w="60" w:type="dxa"/>
              <w:bottom w:w="60" w:type="dxa"/>
              <w:end w:w="60" w:type="dxa"/>
            </w:tcMar>
          </w:tcPr>
          <w:p>
            <w:pPr>
              <w:spacing w:after="0" w:before="0"/>
            </w:pPr>
            <w:r/>
            <w:r>
              <w:rPr>
                <w:rFonts w:ascii="Aptos" w:hAnsi="Aptos"/>
                <w:b w:val="0"/>
                <w:sz w:val="14"/>
              </w:rPr>
              <w:t>Tests / acceptation</w:t>
            </w:r>
          </w:p>
        </w:tc>
        <w:tc>
          <w:tcPr>
            <w:tcW w:type="dxa" w:w="1871"/>
            <w:vAlign w:val="top"/>
            <w:tcMar>
              <w:top w:w="60" w:type="dxa"/>
              <w:start w:w="60" w:type="dxa"/>
              <w:bottom w:w="60" w:type="dxa"/>
              <w:end w:w="60" w:type="dxa"/>
            </w:tcMar>
            <w:shd w:fill="FFF2CC"/>
          </w:tcPr>
          <w:p>
            <w:pPr>
              <w:spacing w:after="0" w:before="0"/>
            </w:pPr>
            <w:r/>
            <w:r>
              <w:rPr>
                <w:rFonts w:ascii="Aptos" w:hAnsi="Aptos"/>
                <w:b/>
                <w:sz w:val="14"/>
              </w:rPr>
              <w:t>PARTIEL</w:t>
            </w:r>
          </w:p>
        </w:tc>
        <w:tc>
          <w:tcPr>
            <w:tcW w:type="dxa" w:w="6973"/>
            <w:vAlign w:val="top"/>
            <w:tcMar>
              <w:top w:w="60" w:type="dxa"/>
              <w:start w:w="60" w:type="dxa"/>
              <w:bottom w:w="60" w:type="dxa"/>
              <w:end w:w="60" w:type="dxa"/>
            </w:tcMar>
          </w:tcPr>
          <w:p>
            <w:pPr>
              <w:spacing w:after="0" w:before="0"/>
            </w:pPr>
            <w:r/>
            <w:r>
              <w:rPr>
                <w:rFonts w:ascii="Aptos" w:hAnsi="Aptos"/>
                <w:b w:val="0"/>
                <w:sz w:val="14"/>
              </w:rPr>
              <w:t>Suite Stage10 importante, mais skipped-tests et absence d’agrégat live A/B courant interdisent une validation globale sans réserve.</w:t>
            </w:r>
          </w:p>
        </w:tc>
      </w:tr>
    </w:tbl>
    <w:p>
      <w:pPr>
        <w:pStyle w:val="Heading1"/>
      </w:pPr>
      <w:r>
        <w:t>4. Constats exécutifs</w:t>
      </w:r>
    </w:p>
    <w:p>
      <w:r>
        <w:rPr>
          <w:b/>
        </w:rPr>
        <w:t xml:space="preserve">Moteur de permissions — solide: </w:t>
      </w:r>
      <w:r>
        <w:t>Inspection directe : rôles cumulatifs, ordre réel des overwrites Discord, owner/ADMINISTRATOR, View As, simple/expert, simulation avant/après et statut incomplet/unknown.</w:t>
      </w:r>
    </w:p>
    <w:p>
      <w:r>
        <w:rPr>
          <w:b/>
        </w:rPr>
        <w:t xml:space="preserve">Planning — solide: </w:t>
      </w:r>
      <w:r>
        <w:t>Plan/Operation durables, états, risques, preflight, impact, autorisation, locks, rate budget et réconciliation des outcomes inconnus sont représentés.</w:t>
      </w:r>
    </w:p>
    <w:p>
      <w:r>
        <w:rPr>
          <w:b/>
        </w:rPr>
        <w:t xml:space="preserve">Policies — écart P0: </w:t>
      </w:r>
      <w:r>
        <w:t>message_content_policy.py et translation_policy.py sont des policies spécialisées. Elles ne constituent pas un moteur de gouvernance générique, administrable, versionné, scoped, composable et explicable.</w:t>
      </w:r>
    </w:p>
    <w:p>
      <w:r>
        <w:rPr>
          <w:b/>
        </w:rPr>
        <w:t xml:space="preserve">Wizards — écart P1: </w:t>
      </w:r>
      <w:r>
        <w:t>La recherche du terme wizard ne révèle que les documents de référence ; aucun module frontend Wizard/Assistant dédié n’a été identifié.</w:t>
      </w:r>
    </w:p>
    <w:p>
      <w:r>
        <w:rPr>
          <w:b/>
        </w:rPr>
        <w:t xml:space="preserve">Templates — partiel: </w:t>
      </w:r>
      <w:r>
        <w:t>Le backend de portabilité/templates existe, mais un catalogue UX de modèles d’infrastructure préconstruits/adaptatifs du §25 n’est pas démontré comme expérience complète.</w:t>
      </w:r>
    </w:p>
    <w:p>
      <w:r>
        <w:rPr>
          <w:b/>
        </w:rPr>
        <w:t xml:space="preserve">Opérations persistantes — partiel UX: </w:t>
      </w:r>
      <w:r>
        <w:t>Le backend est durable ; la reprise explicite après logout/login ou nouvelle session navigateur doit encore être prouvée/complétée.</w:t>
      </w:r>
    </w:p>
    <w:p>
      <w:r>
        <w:rPr>
          <w:b/>
        </w:rPr>
        <w:t xml:space="preserve">Stage10 — réserve: </w:t>
      </w:r>
      <w:r>
        <w:t>Couverture importante, mais des scans/tests sont conditionnellement skip et REQ-TEST-003 ne disposait pas de l’agrégat live A/B courant dans la traçabilité consultée.</w:t>
      </w:r>
    </w:p>
    <w:p>
      <w:pPr>
        <w:pStyle w:val="Heading1"/>
      </w:pPr>
      <w:r>
        <w:t>5. Exigences atomiques consolidées / ajoutées</w:t>
      </w:r>
    </w:p>
    <w:p>
      <w:r>
        <w:t>Le présent registre ajoute ou raffine 143 exigences atomiques. Elles complètent le socle historique de 246 exigences sans le réécrire.</w:t>
      </w:r>
    </w:p>
    <w:p>
      <w:pPr>
        <w:pStyle w:val="Heading2"/>
      </w:pPr>
      <w:r>
        <w:t>5.1 Policies — gouvernance générique</w:t>
      </w:r>
    </w:p>
    <w:tbl>
      <w:tblPr>
        <w:tblW w:type="auto" w:w="0"/>
        <w:jc w:val="center"/>
        <w:tblLayout w:type="fixed"/>
        <w:tblLook w:firstColumn="1" w:firstRow="1" w:lastColumn="0" w:lastRow="0" w:noHBand="0" w:noVBand="1" w:val="04A0"/>
      </w:tblPr>
      <w:tblGrid>
        <w:gridCol w:w="1247"/>
        <w:gridCol w:w="4535"/>
        <w:gridCol w:w="4082"/>
        <w:gridCol w:w="1701"/>
        <w:gridCol w:w="1474"/>
        <w:gridCol w:w="2948"/>
      </w:tblGrid>
      <w:tr>
        <w:trPr>
          <w:tblHeader w:val="true"/>
          <w:cantSplit/>
        </w:trPr>
        <w:tc>
          <w:tcPr>
            <w:tcW w:type="dxa" w:w="2580"/>
            <w:vAlign w:val="top"/>
            <w:tcMar>
              <w:top w:w="60" w:type="dxa"/>
              <w:start w:w="60" w:type="dxa"/>
              <w:bottom w:w="60" w:type="dxa"/>
              <w:end w:w="60" w:type="dxa"/>
            </w:tcMar>
            <w:shd w:fill="D9EAF7"/>
          </w:tcPr>
          <w:p>
            <w:pPr>
              <w:spacing w:after="0" w:before="0"/>
            </w:pPr>
            <w:r/>
            <w:r>
              <w:rPr>
                <w:rFonts w:ascii="Aptos" w:hAnsi="Aptos"/>
                <w:b/>
                <w:sz w:val="14"/>
              </w:rPr>
              <w:t>ID</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Exigence atomique</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Critère d’acceptation</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Source</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Statut</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Preuve / écart</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REQ-POL-001</w:t>
            </w:r>
          </w:p>
        </w:tc>
        <w:tc>
          <w:tcPr>
            <w:tcW w:type="dxa" w:w="4535"/>
            <w:vAlign w:val="top"/>
            <w:tcMar>
              <w:top w:w="60" w:type="dxa"/>
              <w:start w:w="60" w:type="dxa"/>
              <w:bottom w:w="60" w:type="dxa"/>
              <w:end w:w="60" w:type="dxa"/>
            </w:tcMar>
          </w:tcPr>
          <w:p>
            <w:pPr>
              <w:spacing w:after="0" w:before="0"/>
            </w:pPr>
            <w:r/>
            <w:r>
              <w:rPr>
                <w:rFonts w:ascii="Aptos" w:hAnsi="Aptos"/>
                <w:b w:val="0"/>
                <w:sz w:val="13"/>
              </w:rPr>
              <w:t>Concept de premier rang — Une Policy de gouvernance doit être un objet de domaine explicite, et non une condition métier dispersée dans les contrôleurs.</w:t>
            </w:r>
          </w:p>
        </w:tc>
        <w:tc>
          <w:tcPr>
            <w:tcW w:type="dxa" w:w="4082"/>
            <w:vAlign w:val="top"/>
            <w:tcMar>
              <w:top w:w="60" w:type="dxa"/>
              <w:start w:w="60" w:type="dxa"/>
              <w:bottom w:w="60" w:type="dxa"/>
              <w:end w:w="60" w:type="dxa"/>
            </w:tcMar>
          </w:tcPr>
          <w:p>
            <w:pPr>
              <w:spacing w:after="0" w:before="0"/>
            </w:pPr>
            <w:r/>
            <w:r>
              <w:rPr>
                <w:rFonts w:ascii="Aptos" w:hAnsi="Aptos"/>
                <w:b w:val="0"/>
                <w:sz w:val="13"/>
              </w:rPr>
              <w:t>Une policy est sérialisable, résolue par un service de domaine et référencée par identifiant.</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Aucun PolicyDefinition/Policy aggregate générique trouvé; seulement des helpers spécialisés.</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REQ-POL-002</w:t>
            </w:r>
          </w:p>
        </w:tc>
        <w:tc>
          <w:tcPr>
            <w:tcW w:type="dxa" w:w="4535"/>
            <w:vAlign w:val="top"/>
            <w:tcMar>
              <w:top w:w="60" w:type="dxa"/>
              <w:start w:w="60" w:type="dxa"/>
              <w:bottom w:w="60" w:type="dxa"/>
              <w:end w:w="60" w:type="dxa"/>
            </w:tcMar>
          </w:tcPr>
          <w:p>
            <w:pPr>
              <w:spacing w:after="0" w:before="0"/>
            </w:pPr>
            <w:r/>
            <w:r>
              <w:rPr>
                <w:rFonts w:ascii="Aptos" w:hAnsi="Aptos"/>
                <w:b w:val="0"/>
                <w:sz w:val="13"/>
              </w:rPr>
              <w:t>Identifiant stable — Chaque Policy doit posséder un identifiant stable indépendant de son nom.</w:t>
            </w:r>
          </w:p>
        </w:tc>
        <w:tc>
          <w:tcPr>
            <w:tcW w:type="dxa" w:w="4082"/>
            <w:vAlign w:val="top"/>
            <w:tcMar>
              <w:top w:w="60" w:type="dxa"/>
              <w:start w:w="60" w:type="dxa"/>
              <w:bottom w:w="60" w:type="dxa"/>
              <w:end w:w="60" w:type="dxa"/>
            </w:tcMar>
          </w:tcPr>
          <w:p>
            <w:pPr>
              <w:spacing w:after="0" w:before="0"/>
            </w:pPr>
            <w:r/>
            <w:r>
              <w:rPr>
                <w:rFonts w:ascii="Aptos" w:hAnsi="Aptos"/>
                <w:b w:val="0"/>
                <w:sz w:val="13"/>
              </w:rPr>
              <w:t>Renommer la policy ne change pas son ID ni ses références.</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modèle générique démontré.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REQ-POL-003</w:t>
            </w:r>
          </w:p>
        </w:tc>
        <w:tc>
          <w:tcPr>
            <w:tcW w:type="dxa" w:w="4535"/>
            <w:vAlign w:val="top"/>
            <w:tcMar>
              <w:top w:w="60" w:type="dxa"/>
              <w:start w:w="60" w:type="dxa"/>
              <w:bottom w:w="60" w:type="dxa"/>
              <w:end w:w="60" w:type="dxa"/>
            </w:tcMar>
          </w:tcPr>
          <w:p>
            <w:pPr>
              <w:spacing w:after="0" w:before="0"/>
            </w:pPr>
            <w:r/>
            <w:r>
              <w:rPr>
                <w:rFonts w:ascii="Aptos" w:hAnsi="Aptos"/>
                <w:b w:val="0"/>
                <w:sz w:val="13"/>
              </w:rPr>
              <w:t>Type explicite — Chaque Policy doit déclarer un type de policy supporté.</w:t>
            </w:r>
          </w:p>
        </w:tc>
        <w:tc>
          <w:tcPr>
            <w:tcW w:type="dxa" w:w="4082"/>
            <w:vAlign w:val="top"/>
            <w:tcMar>
              <w:top w:w="60" w:type="dxa"/>
              <w:start w:w="60" w:type="dxa"/>
              <w:bottom w:w="60" w:type="dxa"/>
              <w:end w:w="60" w:type="dxa"/>
            </w:tcMar>
          </w:tcPr>
          <w:p>
            <w:pPr>
              <w:spacing w:after="0" w:before="0"/>
            </w:pPr>
            <w:r/>
            <w:r>
              <w:rPr>
                <w:rFonts w:ascii="Aptos" w:hAnsi="Aptos"/>
                <w:b w:val="0"/>
                <w:sz w:val="13"/>
              </w:rPr>
              <w:t>Le type est validé contre un registre fermé/versionné; un type inconnu est refusé.</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registre de policy générique démontré.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REQ-POL-004</w:t>
            </w:r>
          </w:p>
        </w:tc>
        <w:tc>
          <w:tcPr>
            <w:tcW w:type="dxa" w:w="4535"/>
            <w:vAlign w:val="top"/>
            <w:tcMar>
              <w:top w:w="60" w:type="dxa"/>
              <w:start w:w="60" w:type="dxa"/>
              <w:bottom w:w="60" w:type="dxa"/>
              <w:end w:w="60" w:type="dxa"/>
            </w:tcMar>
          </w:tcPr>
          <w:p>
            <w:pPr>
              <w:spacing w:after="0" w:before="0"/>
            </w:pPr>
            <w:r/>
            <w:r>
              <w:rPr>
                <w:rFonts w:ascii="Aptos" w:hAnsi="Aptos"/>
                <w:b w:val="0"/>
                <w:sz w:val="13"/>
              </w:rPr>
              <w:t>Version — Chaque Policy activable doit être versionnée.</w:t>
            </w:r>
          </w:p>
        </w:tc>
        <w:tc>
          <w:tcPr>
            <w:tcW w:type="dxa" w:w="4082"/>
            <w:vAlign w:val="top"/>
            <w:tcMar>
              <w:top w:w="60" w:type="dxa"/>
              <w:start w:w="60" w:type="dxa"/>
              <w:bottom w:w="60" w:type="dxa"/>
              <w:end w:w="60" w:type="dxa"/>
            </w:tcMar>
          </w:tcPr>
          <w:p>
            <w:pPr>
              <w:spacing w:after="0" w:before="0"/>
            </w:pPr>
            <w:r/>
            <w:r>
              <w:rPr>
                <w:rFonts w:ascii="Aptos" w:hAnsi="Aptos"/>
                <w:b w:val="0"/>
                <w:sz w:val="13"/>
              </w:rPr>
              <w:t>Toute modification sémantique crée une nouvelle version ou révision traçable.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versionnement générique démontré.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REQ-POL-005</w:t>
            </w:r>
          </w:p>
        </w:tc>
        <w:tc>
          <w:tcPr>
            <w:tcW w:type="dxa" w:w="4535"/>
            <w:vAlign w:val="top"/>
            <w:tcMar>
              <w:top w:w="60" w:type="dxa"/>
              <w:start w:w="60" w:type="dxa"/>
              <w:bottom w:w="60" w:type="dxa"/>
              <w:end w:w="60" w:type="dxa"/>
            </w:tcMar>
          </w:tcPr>
          <w:p>
            <w:pPr>
              <w:spacing w:after="0" w:before="0"/>
            </w:pPr>
            <w:r/>
            <w:r>
              <w:rPr>
                <w:rFonts w:ascii="Aptos" w:hAnsi="Aptos"/>
                <w:b w:val="0"/>
                <w:sz w:val="13"/>
              </w:rPr>
              <w:t>Cycle de vie — Le cycle de vie minimal doit distinguer DRAFT, ACTIVE, DISABLED et RETIRED.</w:t>
            </w:r>
          </w:p>
        </w:tc>
        <w:tc>
          <w:tcPr>
            <w:tcW w:type="dxa" w:w="4082"/>
            <w:vAlign w:val="top"/>
            <w:tcMar>
              <w:top w:w="60" w:type="dxa"/>
              <w:start w:w="60" w:type="dxa"/>
              <w:bottom w:w="60" w:type="dxa"/>
              <w:end w:w="60" w:type="dxa"/>
            </w:tcMar>
          </w:tcPr>
          <w:p>
            <w:pPr>
              <w:spacing w:after="0" w:before="0"/>
            </w:pPr>
            <w:r/>
            <w:r>
              <w:rPr>
                <w:rFonts w:ascii="Aptos" w:hAnsi="Aptos"/>
                <w:b w:val="0"/>
                <w:sz w:val="13"/>
              </w:rPr>
              <w:t>Une transition invalide est refusée côté serveur.</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state machine générique trouvée.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REQ-POL-006</w:t>
            </w:r>
          </w:p>
        </w:tc>
        <w:tc>
          <w:tcPr>
            <w:tcW w:type="dxa" w:w="4535"/>
            <w:vAlign w:val="top"/>
            <w:tcMar>
              <w:top w:w="60" w:type="dxa"/>
              <w:start w:w="60" w:type="dxa"/>
              <w:bottom w:w="60" w:type="dxa"/>
              <w:end w:w="60" w:type="dxa"/>
            </w:tcMar>
          </w:tcPr>
          <w:p>
            <w:pPr>
              <w:spacing w:after="0" w:before="0"/>
            </w:pPr>
            <w:r/>
            <w:r>
              <w:rPr>
                <w:rFonts w:ascii="Aptos" w:hAnsi="Aptos"/>
                <w:b w:val="0"/>
                <w:sz w:val="13"/>
              </w:rPr>
              <w:t>Métadonnées humaines — Une Policy doit porter un nom et une description localisables/compréhensibles.</w:t>
            </w:r>
          </w:p>
        </w:tc>
        <w:tc>
          <w:tcPr>
            <w:tcW w:type="dxa" w:w="4082"/>
            <w:vAlign w:val="top"/>
            <w:tcMar>
              <w:top w:w="60" w:type="dxa"/>
              <w:start w:w="60" w:type="dxa"/>
              <w:bottom w:w="60" w:type="dxa"/>
              <w:end w:w="60" w:type="dxa"/>
            </w:tcMar>
          </w:tcPr>
          <w:p>
            <w:pPr>
              <w:spacing w:after="0" w:before="0"/>
            </w:pPr>
            <w:r/>
            <w:r>
              <w:rPr>
                <w:rFonts w:ascii="Aptos" w:hAnsi="Aptos"/>
                <w:b w:val="0"/>
                <w:sz w:val="13"/>
              </w:rPr>
              <w:t>L’UI n’oblige pas l’administrateur à raisonner sur un ID technique.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d’écran Policies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REQ-POL-007</w:t>
            </w:r>
          </w:p>
        </w:tc>
        <w:tc>
          <w:tcPr>
            <w:tcW w:type="dxa" w:w="4535"/>
            <w:vAlign w:val="top"/>
            <w:tcMar>
              <w:top w:w="60" w:type="dxa"/>
              <w:start w:w="60" w:type="dxa"/>
              <w:bottom w:w="60" w:type="dxa"/>
              <w:end w:w="60" w:type="dxa"/>
            </w:tcMar>
          </w:tcPr>
          <w:p>
            <w:pPr>
              <w:spacing w:after="0" w:before="0"/>
            </w:pPr>
            <w:r/>
            <w:r>
              <w:rPr>
                <w:rFonts w:ascii="Aptos" w:hAnsi="Aptos"/>
                <w:b w:val="0"/>
                <w:sz w:val="13"/>
              </w:rPr>
              <w:t>Scoping tenant par défaut — Toute Policy métier est tenant-scopée par défaut.</w:t>
            </w:r>
          </w:p>
        </w:tc>
        <w:tc>
          <w:tcPr>
            <w:tcW w:type="dxa" w:w="4082"/>
            <w:vAlign w:val="top"/>
            <w:tcMar>
              <w:top w:w="60" w:type="dxa"/>
              <w:start w:w="60" w:type="dxa"/>
              <w:bottom w:w="60" w:type="dxa"/>
              <w:end w:w="60" w:type="dxa"/>
            </w:tcMar>
          </w:tcPr>
          <w:p>
            <w:pPr>
              <w:spacing w:after="0" w:before="0"/>
            </w:pPr>
            <w:r/>
            <w:r>
              <w:rPr>
                <w:rFonts w:ascii="Aptos" w:hAnsi="Aptos"/>
                <w:b w:val="0"/>
                <w:sz w:val="13"/>
              </w:rPr>
              <w:t>guild_id obligatoire pour toute policy tenant, sauf type explicitement User Control Plane/global.</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stockage générique de policy démontré.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REQ-POL-008</w:t>
            </w:r>
          </w:p>
        </w:tc>
        <w:tc>
          <w:tcPr>
            <w:tcW w:type="dxa" w:w="4535"/>
            <w:vAlign w:val="top"/>
            <w:tcMar>
              <w:top w:w="60" w:type="dxa"/>
              <w:start w:w="60" w:type="dxa"/>
              <w:bottom w:w="60" w:type="dxa"/>
              <w:end w:w="60" w:type="dxa"/>
            </w:tcMar>
          </w:tcPr>
          <w:p>
            <w:pPr>
              <w:spacing w:after="0" w:before="0"/>
            </w:pPr>
            <w:r/>
            <w:r>
              <w:rPr>
                <w:rFonts w:ascii="Aptos" w:hAnsi="Aptos"/>
                <w:b w:val="0"/>
                <w:sz w:val="13"/>
              </w:rPr>
              <w:t>Cible explicite — Une Policy doit déclarer sa cible ou son scope applicable.</w:t>
            </w:r>
          </w:p>
        </w:tc>
        <w:tc>
          <w:tcPr>
            <w:tcW w:type="dxa" w:w="4082"/>
            <w:vAlign w:val="top"/>
            <w:tcMar>
              <w:top w:w="60" w:type="dxa"/>
              <w:start w:w="60" w:type="dxa"/>
              <w:bottom w:w="60" w:type="dxa"/>
              <w:end w:w="60" w:type="dxa"/>
            </w:tcMar>
          </w:tcPr>
          <w:p>
            <w:pPr>
              <w:spacing w:after="0" w:before="0"/>
            </w:pPr>
            <w:r/>
            <w:r>
              <w:rPr>
                <w:rFonts w:ascii="Aptos" w:hAnsi="Aptos"/>
                <w:b w:val="0"/>
                <w:sz w:val="13"/>
              </w:rPr>
              <w:t>Les types de cibles autorisés sont validés selon le type de policy.</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mécanisme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REQ-POL-009</w:t>
            </w:r>
          </w:p>
        </w:tc>
        <w:tc>
          <w:tcPr>
            <w:tcW w:type="dxa" w:w="4535"/>
            <w:vAlign w:val="top"/>
            <w:tcMar>
              <w:top w:w="60" w:type="dxa"/>
              <w:start w:w="60" w:type="dxa"/>
              <w:bottom w:w="60" w:type="dxa"/>
              <w:end w:w="60" w:type="dxa"/>
            </w:tcMar>
          </w:tcPr>
          <w:p>
            <w:pPr>
              <w:spacing w:after="0" w:before="0"/>
            </w:pPr>
            <w:r/>
            <w:r>
              <w:rPr>
                <w:rFonts w:ascii="Aptos" w:hAnsi="Aptos"/>
                <w:b w:val="0"/>
                <w:sz w:val="13"/>
              </w:rPr>
              <w:t>Scopes supportés — Le modèle doit pouvoir représenter, selon le type, Guild, groupe logique, catégorie, salon, rôle, membre, bot, campagne ou template.</w:t>
            </w:r>
          </w:p>
        </w:tc>
        <w:tc>
          <w:tcPr>
            <w:tcW w:type="dxa" w:w="4082"/>
            <w:vAlign w:val="top"/>
            <w:tcMar>
              <w:top w:w="60" w:type="dxa"/>
              <w:start w:w="60" w:type="dxa"/>
              <w:bottom w:w="60" w:type="dxa"/>
              <w:end w:w="60" w:type="dxa"/>
            </w:tcMar>
          </w:tcPr>
          <w:p>
            <w:pPr>
              <w:spacing w:after="0" w:before="0"/>
            </w:pPr>
            <w:r/>
            <w:r>
              <w:rPr>
                <w:rFonts w:ascii="Aptos" w:hAnsi="Aptos"/>
                <w:b w:val="0"/>
                <w:sz w:val="13"/>
              </w:rPr>
              <w:t>Une cible non supportée pour un type est refusée.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modèle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REQ-POL-010</w:t>
            </w:r>
          </w:p>
        </w:tc>
        <w:tc>
          <w:tcPr>
            <w:tcW w:type="dxa" w:w="4535"/>
            <w:vAlign w:val="top"/>
            <w:tcMar>
              <w:top w:w="60" w:type="dxa"/>
              <w:start w:w="60" w:type="dxa"/>
              <w:bottom w:w="60" w:type="dxa"/>
              <w:end w:w="60" w:type="dxa"/>
            </w:tcMar>
          </w:tcPr>
          <w:p>
            <w:pPr>
              <w:spacing w:after="0" w:before="0"/>
            </w:pPr>
            <w:r/>
            <w:r>
              <w:rPr>
                <w:rFonts w:ascii="Aptos" w:hAnsi="Aptos"/>
                <w:b w:val="0"/>
                <w:sz w:val="13"/>
              </w:rPr>
              <w:t>Conditions typées — Les conditions d’une Policy doivent être typées et validées.</w:t>
            </w:r>
          </w:p>
        </w:tc>
        <w:tc>
          <w:tcPr>
            <w:tcW w:type="dxa" w:w="4082"/>
            <w:vAlign w:val="top"/>
            <w:tcMar>
              <w:top w:w="60" w:type="dxa"/>
              <w:start w:w="60" w:type="dxa"/>
              <w:bottom w:w="60" w:type="dxa"/>
              <w:end w:w="60" w:type="dxa"/>
            </w:tcMar>
          </w:tcPr>
          <w:p>
            <w:pPr>
              <w:spacing w:after="0" w:before="0"/>
            </w:pPr>
            <w:r/>
            <w:r>
              <w:rPr>
                <w:rFonts w:ascii="Aptos" w:hAnsi="Aptos"/>
                <w:b w:val="0"/>
                <w:sz w:val="13"/>
              </w:rPr>
              <w:t>Un champ/operateur inconnu ou incompatible est rejeté avant activation.</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DSL/AST générique démontré.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REQ-POL-011</w:t>
            </w:r>
          </w:p>
        </w:tc>
        <w:tc>
          <w:tcPr>
            <w:tcW w:type="dxa" w:w="4535"/>
            <w:vAlign w:val="top"/>
            <w:tcMar>
              <w:top w:w="60" w:type="dxa"/>
              <w:start w:w="60" w:type="dxa"/>
              <w:bottom w:w="60" w:type="dxa"/>
              <w:end w:w="60" w:type="dxa"/>
            </w:tcMar>
          </w:tcPr>
          <w:p>
            <w:pPr>
              <w:spacing w:after="0" w:before="0"/>
            </w:pPr>
            <w:r/>
            <w:r>
              <w:rPr>
                <w:rFonts w:ascii="Aptos" w:hAnsi="Aptos"/>
                <w:b w:val="0"/>
                <w:sz w:val="13"/>
              </w:rPr>
              <w:t>Effets typés — Les effets d’une Policy doivent être typés et validés.</w:t>
            </w:r>
          </w:p>
        </w:tc>
        <w:tc>
          <w:tcPr>
            <w:tcW w:type="dxa" w:w="4082"/>
            <w:vAlign w:val="top"/>
            <w:tcMar>
              <w:top w:w="60" w:type="dxa"/>
              <w:start w:w="60" w:type="dxa"/>
              <w:bottom w:w="60" w:type="dxa"/>
              <w:end w:w="60" w:type="dxa"/>
            </w:tcMar>
          </w:tcPr>
          <w:p>
            <w:pPr>
              <w:spacing w:after="0" w:before="0"/>
            </w:pPr>
            <w:r/>
            <w:r>
              <w:rPr>
                <w:rFonts w:ascii="Aptos" w:hAnsi="Aptos"/>
                <w:b w:val="0"/>
                <w:sz w:val="13"/>
              </w:rPr>
              <w:t>Un effet non supporté ne peut pas être persisté comme actif.</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moteur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REQ-POL-012</w:t>
            </w:r>
          </w:p>
        </w:tc>
        <w:tc>
          <w:tcPr>
            <w:tcW w:type="dxa" w:w="4535"/>
            <w:vAlign w:val="top"/>
            <w:tcMar>
              <w:top w:w="60" w:type="dxa"/>
              <w:start w:w="60" w:type="dxa"/>
              <w:bottom w:w="60" w:type="dxa"/>
              <w:end w:w="60" w:type="dxa"/>
            </w:tcMar>
          </w:tcPr>
          <w:p>
            <w:pPr>
              <w:spacing w:after="0" w:before="0"/>
            </w:pPr>
            <w:r/>
            <w:r>
              <w:rPr>
                <w:rFonts w:ascii="Aptos" w:hAnsi="Aptos"/>
                <w:b w:val="0"/>
                <w:sz w:val="13"/>
              </w:rPr>
              <w:t>Pas de code arbitraire — Une Policy enregistrée ne doit jamais contenir de code exécutable arbitraire.</w:t>
            </w:r>
          </w:p>
        </w:tc>
        <w:tc>
          <w:tcPr>
            <w:tcW w:type="dxa" w:w="4082"/>
            <w:vAlign w:val="top"/>
            <w:tcMar>
              <w:top w:w="60" w:type="dxa"/>
              <w:start w:w="60" w:type="dxa"/>
              <w:bottom w:w="60" w:type="dxa"/>
              <w:end w:w="60" w:type="dxa"/>
            </w:tcMar>
          </w:tcPr>
          <w:p>
            <w:pPr>
              <w:spacing w:after="0" w:before="0"/>
            </w:pPr>
            <w:r/>
            <w:r>
              <w:rPr>
                <w:rFonts w:ascii="Aptos" w:hAnsi="Aptos"/>
                <w:b w:val="0"/>
                <w:sz w:val="13"/>
              </w:rPr>
              <w:t>Les expressions sont déclaratives et évaluées par un moteur borné.</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E7E6E6"/>
          </w:tcPr>
          <w:p>
            <w:pPr>
              <w:spacing w:after="0" w:before="0"/>
            </w:pPr>
            <w:r/>
            <w:r>
              <w:rPr>
                <w:rFonts w:ascii="Aptos" w:hAnsi="Aptos"/>
                <w:b/>
                <w:sz w:val="13"/>
              </w:rPr>
              <w:t>NON DÉMONTRÉ</w:t>
            </w:r>
          </w:p>
        </w:tc>
        <w:tc>
          <w:tcPr>
            <w:tcW w:type="dxa" w:w="2948"/>
            <w:vAlign w:val="top"/>
            <w:tcMar>
              <w:top w:w="60" w:type="dxa"/>
              <w:start w:w="60" w:type="dxa"/>
              <w:bottom w:w="60" w:type="dxa"/>
              <w:end w:w="60" w:type="dxa"/>
            </w:tcMar>
          </w:tcPr>
          <w:p>
            <w:pPr>
              <w:spacing w:after="0" w:before="0"/>
            </w:pPr>
            <w:r/>
            <w:r>
              <w:rPr>
                <w:rFonts w:ascii="Aptos" w:hAnsi="Aptos"/>
                <w:b w:val="0"/>
                <w:sz w:val="13"/>
              </w:rPr>
              <w:t>Aucun moteur générique présent; exigence à imposer avant implémentation.</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REQ-POL-013</w:t>
            </w:r>
          </w:p>
        </w:tc>
        <w:tc>
          <w:tcPr>
            <w:tcW w:type="dxa" w:w="4535"/>
            <w:vAlign w:val="top"/>
            <w:tcMar>
              <w:top w:w="60" w:type="dxa"/>
              <w:start w:w="60" w:type="dxa"/>
              <w:bottom w:w="60" w:type="dxa"/>
              <w:end w:w="60" w:type="dxa"/>
            </w:tcMar>
          </w:tcPr>
          <w:p>
            <w:pPr>
              <w:spacing w:after="0" w:before="0"/>
            </w:pPr>
            <w:r/>
            <w:r>
              <w:rPr>
                <w:rFonts w:ascii="Aptos" w:hAnsi="Aptos"/>
                <w:b w:val="0"/>
                <w:sz w:val="13"/>
              </w:rPr>
              <w:t>Déterminisme — À données d’entrée identiques, la résolution des Policies doit produire le même résultat.</w:t>
            </w:r>
          </w:p>
        </w:tc>
        <w:tc>
          <w:tcPr>
            <w:tcW w:type="dxa" w:w="4082"/>
            <w:vAlign w:val="top"/>
            <w:tcMar>
              <w:top w:w="60" w:type="dxa"/>
              <w:start w:w="60" w:type="dxa"/>
              <w:bottom w:w="60" w:type="dxa"/>
              <w:end w:w="60" w:type="dxa"/>
            </w:tcMar>
          </w:tcPr>
          <w:p>
            <w:pPr>
              <w:spacing w:after="0" w:before="0"/>
            </w:pPr>
            <w:r/>
            <w:r>
              <w:rPr>
                <w:rFonts w:ascii="Aptos" w:hAnsi="Aptos"/>
                <w:b w:val="0"/>
                <w:sz w:val="13"/>
              </w:rPr>
              <w:t>Tests répétés et ordre de stockage variable produisent la même décision.</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Les policies spécialisées inspectées sont déterministes; pas de moteur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REQ-POL-014</w:t>
            </w:r>
          </w:p>
        </w:tc>
        <w:tc>
          <w:tcPr>
            <w:tcW w:type="dxa" w:w="4535"/>
            <w:vAlign w:val="top"/>
            <w:tcMar>
              <w:top w:w="60" w:type="dxa"/>
              <w:start w:w="60" w:type="dxa"/>
              <w:bottom w:w="60" w:type="dxa"/>
              <w:end w:w="60" w:type="dxa"/>
            </w:tcMar>
          </w:tcPr>
          <w:p>
            <w:pPr>
              <w:spacing w:after="0" w:before="0"/>
            </w:pPr>
            <w:r/>
            <w:r>
              <w:rPr>
                <w:rFonts w:ascii="Aptos" w:hAnsi="Aptos"/>
                <w:b w:val="0"/>
                <w:sz w:val="13"/>
              </w:rPr>
              <w:t>Héritage explicite — Les règles d’héritage entre scopes doivent être définies par famille de Policy.</w:t>
            </w:r>
          </w:p>
        </w:tc>
        <w:tc>
          <w:tcPr>
            <w:tcW w:type="dxa" w:w="4082"/>
            <w:vAlign w:val="top"/>
            <w:tcMar>
              <w:top w:w="60" w:type="dxa"/>
              <w:start w:w="60" w:type="dxa"/>
              <w:bottom w:w="60" w:type="dxa"/>
              <w:end w:w="60" w:type="dxa"/>
            </w:tcMar>
          </w:tcPr>
          <w:p>
            <w:pPr>
              <w:spacing w:after="0" w:before="0"/>
            </w:pPr>
            <w:r/>
            <w:r>
              <w:rPr>
                <w:rFonts w:ascii="Aptos" w:hAnsi="Aptos"/>
                <w:b w:val="0"/>
                <w:sz w:val="13"/>
              </w:rPr>
              <w:t>L’UI peut expliquer de quel scope provient une règle héritée.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résolution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REQ-POL-015</w:t>
            </w:r>
          </w:p>
        </w:tc>
        <w:tc>
          <w:tcPr>
            <w:tcW w:type="dxa" w:w="4535"/>
            <w:vAlign w:val="top"/>
            <w:tcMar>
              <w:top w:w="60" w:type="dxa"/>
              <w:start w:w="60" w:type="dxa"/>
              <w:bottom w:w="60" w:type="dxa"/>
              <w:end w:w="60" w:type="dxa"/>
            </w:tcMar>
          </w:tcPr>
          <w:p>
            <w:pPr>
              <w:spacing w:after="0" w:before="0"/>
            </w:pPr>
            <w:r/>
            <w:r>
              <w:rPr>
                <w:rFonts w:ascii="Aptos" w:hAnsi="Aptos"/>
                <w:b w:val="0"/>
                <w:sz w:val="13"/>
              </w:rPr>
              <w:t>Priorité explicite — Chaque famille de Policy doit définir sa sémantique de priorité.</w:t>
            </w:r>
          </w:p>
        </w:tc>
        <w:tc>
          <w:tcPr>
            <w:tcW w:type="dxa" w:w="4082"/>
            <w:vAlign w:val="top"/>
            <w:tcMar>
              <w:top w:w="60" w:type="dxa"/>
              <w:start w:w="60" w:type="dxa"/>
              <w:bottom w:w="60" w:type="dxa"/>
              <w:end w:w="60" w:type="dxa"/>
            </w:tcMar>
          </w:tcPr>
          <w:p>
            <w:pPr>
              <w:spacing w:after="0" w:before="0"/>
            </w:pPr>
            <w:r/>
            <w:r>
              <w:rPr>
                <w:rFonts w:ascii="Aptos" w:hAnsi="Aptos"/>
                <w:b w:val="0"/>
                <w:sz w:val="13"/>
              </w:rPr>
              <w:t>La priorité ne dépend jamais accidentellement de l’ordre SQL ou de création.</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résolveur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REQ-POL-016</w:t>
            </w:r>
          </w:p>
        </w:tc>
        <w:tc>
          <w:tcPr>
            <w:tcW w:type="dxa" w:w="4535"/>
            <w:vAlign w:val="top"/>
            <w:tcMar>
              <w:top w:w="60" w:type="dxa"/>
              <w:start w:w="60" w:type="dxa"/>
              <w:bottom w:w="60" w:type="dxa"/>
              <w:end w:w="60" w:type="dxa"/>
            </w:tcMar>
          </w:tcPr>
          <w:p>
            <w:pPr>
              <w:spacing w:after="0" w:before="0"/>
            </w:pPr>
            <w:r/>
            <w:r>
              <w:rPr>
                <w:rFonts w:ascii="Aptos" w:hAnsi="Aptos"/>
                <w:b w:val="0"/>
                <w:sz w:val="13"/>
              </w:rPr>
              <w:t>Spécificité explicite — Le rapport entre spécificité du scope et priorité explicite doit être défini.</w:t>
            </w:r>
          </w:p>
        </w:tc>
        <w:tc>
          <w:tcPr>
            <w:tcW w:type="dxa" w:w="4082"/>
            <w:vAlign w:val="top"/>
            <w:tcMar>
              <w:top w:w="60" w:type="dxa"/>
              <w:start w:w="60" w:type="dxa"/>
              <w:bottom w:w="60" w:type="dxa"/>
              <w:end w:w="60" w:type="dxa"/>
            </w:tcMar>
          </w:tcPr>
          <w:p>
            <w:pPr>
              <w:spacing w:after="0" w:before="0"/>
            </w:pPr>
            <w:r/>
            <w:r>
              <w:rPr>
                <w:rFonts w:ascii="Aptos" w:hAnsi="Aptos"/>
                <w:b w:val="0"/>
                <w:sz w:val="13"/>
              </w:rPr>
              <w:t>Les cas Guild→groupe→catégorie→salon ont un résultat normatif testé.</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résolveur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REQ-POL-017</w:t>
            </w:r>
          </w:p>
        </w:tc>
        <w:tc>
          <w:tcPr>
            <w:tcW w:type="dxa" w:w="4535"/>
            <w:vAlign w:val="top"/>
            <w:tcMar>
              <w:top w:w="60" w:type="dxa"/>
              <w:start w:w="60" w:type="dxa"/>
              <w:bottom w:w="60" w:type="dxa"/>
              <w:end w:w="60" w:type="dxa"/>
            </w:tcMar>
          </w:tcPr>
          <w:p>
            <w:pPr>
              <w:spacing w:after="0" w:before="0"/>
            </w:pPr>
            <w:r/>
            <w:r>
              <w:rPr>
                <w:rFonts w:ascii="Aptos" w:hAnsi="Aptos"/>
                <w:b w:val="0"/>
                <w:sz w:val="13"/>
              </w:rPr>
              <w:t>Détection de conflit — Le moteur doit détecter les Policies incompatibles applicables à une même décision.</w:t>
            </w:r>
          </w:p>
        </w:tc>
        <w:tc>
          <w:tcPr>
            <w:tcW w:type="dxa" w:w="4082"/>
            <w:vAlign w:val="top"/>
            <w:tcMar>
              <w:top w:w="60" w:type="dxa"/>
              <w:start w:w="60" w:type="dxa"/>
              <w:bottom w:w="60" w:type="dxa"/>
              <w:end w:w="60" w:type="dxa"/>
            </w:tcMar>
          </w:tcPr>
          <w:p>
            <w:pPr>
              <w:spacing w:after="0" w:before="0"/>
            </w:pPr>
            <w:r/>
            <w:r>
              <w:rPr>
                <w:rFonts w:ascii="Aptos" w:hAnsi="Aptos"/>
                <w:b w:val="0"/>
                <w:sz w:val="13"/>
              </w:rPr>
              <w:t>Le conflit est retourné comme résultat structuré avec les policies impliquées.</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moteur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REQ-POL-018</w:t>
            </w:r>
          </w:p>
        </w:tc>
        <w:tc>
          <w:tcPr>
            <w:tcW w:type="dxa" w:w="4535"/>
            <w:vAlign w:val="top"/>
            <w:tcMar>
              <w:top w:w="60" w:type="dxa"/>
              <w:start w:w="60" w:type="dxa"/>
              <w:bottom w:w="60" w:type="dxa"/>
              <w:end w:w="60" w:type="dxa"/>
            </w:tcMar>
          </w:tcPr>
          <w:p>
            <w:pPr>
              <w:spacing w:after="0" w:before="0"/>
            </w:pPr>
            <w:r/>
            <w:r>
              <w:rPr>
                <w:rFonts w:ascii="Aptos" w:hAnsi="Aptos"/>
                <w:b w:val="0"/>
                <w:sz w:val="13"/>
              </w:rPr>
              <w:t>Résolution de conflit déterministe — Un conflit résoluble doit suivre une règle documentée et déterministe.</w:t>
            </w:r>
          </w:p>
        </w:tc>
        <w:tc>
          <w:tcPr>
            <w:tcW w:type="dxa" w:w="4082"/>
            <w:vAlign w:val="top"/>
            <w:tcMar>
              <w:top w:w="60" w:type="dxa"/>
              <w:start w:w="60" w:type="dxa"/>
              <w:bottom w:w="60" w:type="dxa"/>
              <w:end w:w="60" w:type="dxa"/>
            </w:tcMar>
          </w:tcPr>
          <w:p>
            <w:pPr>
              <w:spacing w:after="0" w:before="0"/>
            </w:pPr>
            <w:r/>
            <w:r>
              <w:rPr>
                <w:rFonts w:ascii="Aptos" w:hAnsi="Aptos"/>
                <w:b w:val="0"/>
                <w:sz w:val="13"/>
              </w:rPr>
              <w:t>Le résultat indique la règle de résolution utilisée.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moteur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REQ-POL-019</w:t>
            </w:r>
          </w:p>
        </w:tc>
        <w:tc>
          <w:tcPr>
            <w:tcW w:type="dxa" w:w="4535"/>
            <w:vAlign w:val="top"/>
            <w:tcMar>
              <w:top w:w="60" w:type="dxa"/>
              <w:start w:w="60" w:type="dxa"/>
              <w:bottom w:w="60" w:type="dxa"/>
              <w:end w:w="60" w:type="dxa"/>
            </w:tcMar>
          </w:tcPr>
          <w:p>
            <w:pPr>
              <w:spacing w:after="0" w:before="0"/>
            </w:pPr>
            <w:r/>
            <w:r>
              <w:rPr>
                <w:rFonts w:ascii="Aptos" w:hAnsi="Aptos"/>
                <w:b w:val="0"/>
                <w:sz w:val="13"/>
              </w:rPr>
              <w:t>Conflit non résoluble — Un conflit sans règle de résolution doit bloquer l’action ou demander une intervention.</w:t>
            </w:r>
          </w:p>
        </w:tc>
        <w:tc>
          <w:tcPr>
            <w:tcW w:type="dxa" w:w="4082"/>
            <w:vAlign w:val="top"/>
            <w:tcMar>
              <w:top w:w="60" w:type="dxa"/>
              <w:start w:w="60" w:type="dxa"/>
              <w:bottom w:w="60" w:type="dxa"/>
              <w:end w:w="60" w:type="dxa"/>
            </w:tcMar>
          </w:tcPr>
          <w:p>
            <w:pPr>
              <w:spacing w:after="0" w:before="0"/>
            </w:pPr>
            <w:r/>
            <w:r>
              <w:rPr>
                <w:rFonts w:ascii="Aptos" w:hAnsi="Aptos"/>
                <w:b w:val="0"/>
                <w:sz w:val="13"/>
              </w:rPr>
              <w:t>Aucune préférence implicite permissive.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moteur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REQ-POL-020</w:t>
            </w:r>
          </w:p>
        </w:tc>
        <w:tc>
          <w:tcPr>
            <w:tcW w:type="dxa" w:w="4535"/>
            <w:vAlign w:val="top"/>
            <w:tcMar>
              <w:top w:w="60" w:type="dxa"/>
              <w:start w:w="60" w:type="dxa"/>
              <w:bottom w:w="60" w:type="dxa"/>
              <w:end w:w="60" w:type="dxa"/>
            </w:tcMar>
          </w:tcPr>
          <w:p>
            <w:pPr>
              <w:spacing w:after="0" w:before="0"/>
            </w:pPr>
            <w:r/>
            <w:r>
              <w:rPr>
                <w:rFonts w:ascii="Aptos" w:hAnsi="Aptos"/>
                <w:b w:val="0"/>
                <w:sz w:val="13"/>
              </w:rPr>
              <w:t>Composition — Plusieurs Policies applicables doivent pouvoir se composer sans perte d’information.</w:t>
            </w:r>
          </w:p>
        </w:tc>
        <w:tc>
          <w:tcPr>
            <w:tcW w:type="dxa" w:w="4082"/>
            <w:vAlign w:val="top"/>
            <w:tcMar>
              <w:top w:w="60" w:type="dxa"/>
              <w:start w:w="60" w:type="dxa"/>
              <w:bottom w:w="60" w:type="dxa"/>
              <w:end w:w="60" w:type="dxa"/>
            </w:tcMar>
          </w:tcPr>
          <w:p>
            <w:pPr>
              <w:spacing w:after="0" w:before="0"/>
            </w:pPr>
            <w:r/>
            <w:r>
              <w:rPr>
                <w:rFonts w:ascii="Aptos" w:hAnsi="Aptos"/>
                <w:b w:val="0"/>
                <w:sz w:val="13"/>
              </w:rPr>
              <w:t>Le résultat expose la contribution de chaque policy.</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moteur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REQ-POL-021</w:t>
            </w:r>
          </w:p>
        </w:tc>
        <w:tc>
          <w:tcPr>
            <w:tcW w:type="dxa" w:w="4535"/>
            <w:vAlign w:val="top"/>
            <w:tcMar>
              <w:top w:w="60" w:type="dxa"/>
              <w:start w:w="60" w:type="dxa"/>
              <w:bottom w:w="60" w:type="dxa"/>
              <w:end w:w="60" w:type="dxa"/>
            </w:tcMar>
          </w:tcPr>
          <w:p>
            <w:pPr>
              <w:spacing w:after="0" w:before="0"/>
            </w:pPr>
            <w:r/>
            <w:r>
              <w:rPr>
                <w:rFonts w:ascii="Aptos" w:hAnsi="Aptos"/>
                <w:b w:val="0"/>
                <w:sz w:val="13"/>
              </w:rPr>
              <w:t>Enforcement serveur — L’UI ne doit jamais être la seule barrière d’une Policy.</w:t>
            </w:r>
          </w:p>
        </w:tc>
        <w:tc>
          <w:tcPr>
            <w:tcW w:type="dxa" w:w="4082"/>
            <w:vAlign w:val="top"/>
            <w:tcMar>
              <w:top w:w="60" w:type="dxa"/>
              <w:start w:w="60" w:type="dxa"/>
              <w:bottom w:w="60" w:type="dxa"/>
              <w:end w:w="60" w:type="dxa"/>
            </w:tcMar>
          </w:tcPr>
          <w:p>
            <w:pPr>
              <w:spacing w:after="0" w:before="0"/>
            </w:pPr>
            <w:r/>
            <w:r>
              <w:rPr>
                <w:rFonts w:ascii="Aptos" w:hAnsi="Aptos"/>
                <w:b w:val="0"/>
                <w:sz w:val="13"/>
              </w:rPr>
              <w:t>Toute mutation/use-case sensible appelle le résolveur serveur avant effet.</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Les checks actuels sont spécialisés; pas de point d’enforcement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REQ-POL-022</w:t>
            </w:r>
          </w:p>
        </w:tc>
        <w:tc>
          <w:tcPr>
            <w:tcW w:type="dxa" w:w="4535"/>
            <w:vAlign w:val="top"/>
            <w:tcMar>
              <w:top w:w="60" w:type="dxa"/>
              <w:start w:w="60" w:type="dxa"/>
              <w:bottom w:w="60" w:type="dxa"/>
              <w:end w:w="60" w:type="dxa"/>
            </w:tcMar>
          </w:tcPr>
          <w:p>
            <w:pPr>
              <w:spacing w:after="0" w:before="0"/>
            </w:pPr>
            <w:r/>
            <w:r>
              <w:rPr>
                <w:rFonts w:ascii="Aptos" w:hAnsi="Aptos"/>
                <w:b w:val="0"/>
                <w:sz w:val="13"/>
              </w:rPr>
              <w:t>Préflight — Le preflight d’un plan doit évaluer toutes les Policies pertinentes.</w:t>
            </w:r>
          </w:p>
        </w:tc>
        <w:tc>
          <w:tcPr>
            <w:tcW w:type="dxa" w:w="4082"/>
            <w:vAlign w:val="top"/>
            <w:tcMar>
              <w:top w:w="60" w:type="dxa"/>
              <w:start w:w="60" w:type="dxa"/>
              <w:bottom w:w="60" w:type="dxa"/>
              <w:end w:w="60" w:type="dxa"/>
            </w:tcMar>
          </w:tcPr>
          <w:p>
            <w:pPr>
              <w:spacing w:after="0" w:before="0"/>
            </w:pPr>
            <w:r/>
            <w:r>
              <w:rPr>
                <w:rFonts w:ascii="Aptos" w:hAnsi="Aptos"/>
                <w:b w:val="0"/>
                <w:sz w:val="13"/>
              </w:rPr>
              <w:t>Une violation bloquante empêche l’autorisation/APPLY.</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Planning preflight existe, mais intégration d’un moteur générique de policies non trouvée.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REQ-POL-023</w:t>
            </w:r>
          </w:p>
        </w:tc>
        <w:tc>
          <w:tcPr>
            <w:tcW w:type="dxa" w:w="4535"/>
            <w:vAlign w:val="top"/>
            <w:tcMar>
              <w:top w:w="60" w:type="dxa"/>
              <w:start w:w="60" w:type="dxa"/>
              <w:bottom w:w="60" w:type="dxa"/>
              <w:end w:w="60" w:type="dxa"/>
            </w:tcMar>
          </w:tcPr>
          <w:p>
            <w:pPr>
              <w:spacing w:after="0" w:before="0"/>
            </w:pPr>
            <w:r/>
            <w:r>
              <w:rPr>
                <w:rFonts w:ascii="Aptos" w:hAnsi="Aptos"/>
                <w:b w:val="0"/>
                <w:sz w:val="13"/>
              </w:rPr>
              <w:t>Même moteur simulation/APPLY — La simulation et APPLY doivent utiliser le même moteur de Policies.</w:t>
            </w:r>
          </w:p>
        </w:tc>
        <w:tc>
          <w:tcPr>
            <w:tcW w:type="dxa" w:w="4082"/>
            <w:vAlign w:val="top"/>
            <w:tcMar>
              <w:top w:w="60" w:type="dxa"/>
              <w:start w:w="60" w:type="dxa"/>
              <w:bottom w:w="60" w:type="dxa"/>
              <w:end w:w="60" w:type="dxa"/>
            </w:tcMar>
          </w:tcPr>
          <w:p>
            <w:pPr>
              <w:spacing w:after="0" w:before="0"/>
            </w:pPr>
            <w:r/>
            <w:r>
              <w:rPr>
                <w:rFonts w:ascii="Aptos" w:hAnsi="Aptos"/>
                <w:b w:val="0"/>
                <w:sz w:val="13"/>
              </w:rPr>
              <w:t>Aucune logique approximative parallèle côté frontend.</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moteur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REQ-POL-024</w:t>
            </w:r>
          </w:p>
        </w:tc>
        <w:tc>
          <w:tcPr>
            <w:tcW w:type="dxa" w:w="4535"/>
            <w:vAlign w:val="top"/>
            <w:tcMar>
              <w:top w:w="60" w:type="dxa"/>
              <w:start w:w="60" w:type="dxa"/>
              <w:bottom w:w="60" w:type="dxa"/>
              <w:end w:w="60" w:type="dxa"/>
            </w:tcMar>
          </w:tcPr>
          <w:p>
            <w:pPr>
              <w:spacing w:after="0" w:before="0"/>
            </w:pPr>
            <w:r/>
            <w:r>
              <w:rPr>
                <w:rFonts w:ascii="Aptos" w:hAnsi="Aptos"/>
                <w:b w:val="0"/>
                <w:sz w:val="13"/>
              </w:rPr>
              <w:t>Explicabilité — Toute décision de Policy doit être explicable.</w:t>
            </w:r>
          </w:p>
        </w:tc>
        <w:tc>
          <w:tcPr>
            <w:tcW w:type="dxa" w:w="4082"/>
            <w:vAlign w:val="top"/>
            <w:tcMar>
              <w:top w:w="60" w:type="dxa"/>
              <w:start w:w="60" w:type="dxa"/>
              <w:bottom w:w="60" w:type="dxa"/>
              <w:end w:w="60" w:type="dxa"/>
            </w:tcMar>
          </w:tcPr>
          <w:p>
            <w:pPr>
              <w:spacing w:after="0" w:before="0"/>
            </w:pPr>
            <w:r/>
            <w:r>
              <w:rPr>
                <w:rFonts w:ascii="Aptos" w:hAnsi="Aptos"/>
                <w:b w:val="0"/>
                <w:sz w:val="13"/>
              </w:rPr>
              <w:t>Réponse: policies appliquées, scope source, conditions vraies/fausses, priorité et effet final.</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d’API Explain Policy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REQ-POL-025</w:t>
            </w:r>
          </w:p>
        </w:tc>
        <w:tc>
          <w:tcPr>
            <w:tcW w:type="dxa" w:w="4535"/>
            <w:vAlign w:val="top"/>
            <w:tcMar>
              <w:top w:w="60" w:type="dxa"/>
              <w:start w:w="60" w:type="dxa"/>
              <w:bottom w:w="60" w:type="dxa"/>
              <w:end w:w="60" w:type="dxa"/>
            </w:tcMar>
          </w:tcPr>
          <w:p>
            <w:pPr>
              <w:spacing w:after="0" w:before="0"/>
            </w:pPr>
            <w:r/>
            <w:r>
              <w:rPr>
                <w:rFonts w:ascii="Aptos" w:hAnsi="Aptos"/>
                <w:b w:val="0"/>
                <w:sz w:val="13"/>
              </w:rPr>
              <w:t>Pourquoi autorisé/refusé — L’UI doit pouvoir répondre “Pourquoi cette action est-elle autorisée/refusée ?”.</w:t>
            </w:r>
          </w:p>
        </w:tc>
        <w:tc>
          <w:tcPr>
            <w:tcW w:type="dxa" w:w="4082"/>
            <w:vAlign w:val="top"/>
            <w:tcMar>
              <w:top w:w="60" w:type="dxa"/>
              <w:start w:w="60" w:type="dxa"/>
              <w:bottom w:w="60" w:type="dxa"/>
              <w:end w:w="60" w:type="dxa"/>
            </w:tcMar>
          </w:tcPr>
          <w:p>
            <w:pPr>
              <w:spacing w:after="0" w:before="0"/>
            </w:pPr>
            <w:r/>
            <w:r>
              <w:rPr>
                <w:rFonts w:ascii="Aptos" w:hAnsi="Aptos"/>
                <w:b w:val="0"/>
                <w:sz w:val="13"/>
              </w:rPr>
              <w:t>La réponse vient de la décision serveur structurée.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d’écran Policies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REQ-POL-026</w:t>
            </w:r>
          </w:p>
        </w:tc>
        <w:tc>
          <w:tcPr>
            <w:tcW w:type="dxa" w:w="4535"/>
            <w:vAlign w:val="top"/>
            <w:tcMar>
              <w:top w:w="60" w:type="dxa"/>
              <w:start w:w="60" w:type="dxa"/>
              <w:bottom w:w="60" w:type="dxa"/>
              <w:end w:w="60" w:type="dxa"/>
            </w:tcMar>
          </w:tcPr>
          <w:p>
            <w:pPr>
              <w:spacing w:after="0" w:before="0"/>
            </w:pPr>
            <w:r/>
            <w:r>
              <w:rPr>
                <w:rFonts w:ascii="Aptos" w:hAnsi="Aptos"/>
                <w:b w:val="0"/>
                <w:sz w:val="13"/>
              </w:rPr>
              <w:t>Impact avant/après — Une modification de Policy doit produire une analyse d’impact avant activation.</w:t>
            </w:r>
          </w:p>
        </w:tc>
        <w:tc>
          <w:tcPr>
            <w:tcW w:type="dxa" w:w="4082"/>
            <w:vAlign w:val="top"/>
            <w:tcMar>
              <w:top w:w="60" w:type="dxa"/>
              <w:start w:w="60" w:type="dxa"/>
              <w:bottom w:w="60" w:type="dxa"/>
              <w:end w:w="60" w:type="dxa"/>
            </w:tcMar>
          </w:tcPr>
          <w:p>
            <w:pPr>
              <w:spacing w:after="0" w:before="0"/>
            </w:pPr>
            <w:r/>
            <w:r>
              <w:rPr>
                <w:rFonts w:ascii="Aptos" w:hAnsi="Aptos"/>
                <w:b w:val="0"/>
                <w:sz w:val="13"/>
              </w:rPr>
              <w:t>Le nombre et type de cibles/décisions affectées sont calculés ou bornés.</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simulation de policy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REQ-POL-027</w:t>
            </w:r>
          </w:p>
        </w:tc>
        <w:tc>
          <w:tcPr>
            <w:tcW w:type="dxa" w:w="4535"/>
            <w:vAlign w:val="top"/>
            <w:tcMar>
              <w:top w:w="60" w:type="dxa"/>
              <w:start w:w="60" w:type="dxa"/>
              <w:bottom w:w="60" w:type="dxa"/>
              <w:end w:w="60" w:type="dxa"/>
            </w:tcMar>
          </w:tcPr>
          <w:p>
            <w:pPr>
              <w:spacing w:after="0" w:before="0"/>
            </w:pPr>
            <w:r/>
            <w:r>
              <w:rPr>
                <w:rFonts w:ascii="Aptos" w:hAnsi="Aptos"/>
                <w:b w:val="0"/>
                <w:sz w:val="13"/>
              </w:rPr>
              <w:t>Brouillon — Une Policy doit pouvoir être créée/modifiée en DRAFT sans effet actif.</w:t>
            </w:r>
          </w:p>
        </w:tc>
        <w:tc>
          <w:tcPr>
            <w:tcW w:type="dxa" w:w="4082"/>
            <w:vAlign w:val="top"/>
            <w:tcMar>
              <w:top w:w="60" w:type="dxa"/>
              <w:start w:w="60" w:type="dxa"/>
              <w:bottom w:w="60" w:type="dxa"/>
              <w:end w:w="60" w:type="dxa"/>
            </w:tcMar>
          </w:tcPr>
          <w:p>
            <w:pPr>
              <w:spacing w:after="0" w:before="0"/>
            </w:pPr>
            <w:r/>
            <w:r>
              <w:rPr>
                <w:rFonts w:ascii="Aptos" w:hAnsi="Aptos"/>
                <w:b w:val="0"/>
                <w:sz w:val="13"/>
              </w:rPr>
              <w:t>Sauvegarder un brouillon n’altère aucune décision active.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lifecycle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REQ-POL-028</w:t>
            </w:r>
          </w:p>
        </w:tc>
        <w:tc>
          <w:tcPr>
            <w:tcW w:type="dxa" w:w="4535"/>
            <w:vAlign w:val="top"/>
            <w:tcMar>
              <w:top w:w="60" w:type="dxa"/>
              <w:start w:w="60" w:type="dxa"/>
              <w:bottom w:w="60" w:type="dxa"/>
              <w:end w:w="60" w:type="dxa"/>
            </w:tcMar>
          </w:tcPr>
          <w:p>
            <w:pPr>
              <w:spacing w:after="0" w:before="0"/>
            </w:pPr>
            <w:r/>
            <w:r>
              <w:rPr>
                <w:rFonts w:ascii="Aptos" w:hAnsi="Aptos"/>
                <w:b w:val="0"/>
                <w:sz w:val="13"/>
              </w:rPr>
              <w:t>Preview — Une Policy en brouillon doit pouvoir être simulée.</w:t>
            </w:r>
          </w:p>
        </w:tc>
        <w:tc>
          <w:tcPr>
            <w:tcW w:type="dxa" w:w="4082"/>
            <w:vAlign w:val="top"/>
            <w:tcMar>
              <w:top w:w="60" w:type="dxa"/>
              <w:start w:w="60" w:type="dxa"/>
              <w:bottom w:w="60" w:type="dxa"/>
              <w:end w:w="60" w:type="dxa"/>
            </w:tcMar>
          </w:tcPr>
          <w:p>
            <w:pPr>
              <w:spacing w:after="0" w:before="0"/>
            </w:pPr>
            <w:r/>
            <w:r>
              <w:rPr>
                <w:rFonts w:ascii="Aptos" w:hAnsi="Aptos"/>
                <w:b w:val="0"/>
                <w:sz w:val="13"/>
              </w:rPr>
              <w:t>La preview compare décision actuelle et proposée sur un échantillon/cible explicite.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preview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REQ-POL-029</w:t>
            </w:r>
          </w:p>
        </w:tc>
        <w:tc>
          <w:tcPr>
            <w:tcW w:type="dxa" w:w="4535"/>
            <w:vAlign w:val="top"/>
            <w:tcMar>
              <w:top w:w="60" w:type="dxa"/>
              <w:start w:w="60" w:type="dxa"/>
              <w:bottom w:w="60" w:type="dxa"/>
              <w:end w:w="60" w:type="dxa"/>
            </w:tcMar>
          </w:tcPr>
          <w:p>
            <w:pPr>
              <w:spacing w:after="0" w:before="0"/>
            </w:pPr>
            <w:r/>
            <w:r>
              <w:rPr>
                <w:rFonts w:ascii="Aptos" w:hAnsi="Aptos"/>
                <w:b w:val="0"/>
                <w:sz w:val="13"/>
              </w:rPr>
              <w:t>Activation autorisée — Activer une Policy exige une capability dédiée.</w:t>
            </w:r>
          </w:p>
        </w:tc>
        <w:tc>
          <w:tcPr>
            <w:tcW w:type="dxa" w:w="4082"/>
            <w:vAlign w:val="top"/>
            <w:tcMar>
              <w:top w:w="60" w:type="dxa"/>
              <w:start w:w="60" w:type="dxa"/>
              <w:bottom w:w="60" w:type="dxa"/>
              <w:end w:w="60" w:type="dxa"/>
            </w:tcMar>
          </w:tcPr>
          <w:p>
            <w:pPr>
              <w:spacing w:after="0" w:before="0"/>
            </w:pPr>
            <w:r/>
            <w:r>
              <w:rPr>
                <w:rFonts w:ascii="Aptos" w:hAnsi="Aptos"/>
                <w:b w:val="0"/>
                <w:sz w:val="13"/>
              </w:rPr>
              <w:t>L’API refuse l’activation sans capability, indépendamment de l’UI.</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capability Policies démontrée.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REQ-POL-030</w:t>
            </w:r>
          </w:p>
        </w:tc>
        <w:tc>
          <w:tcPr>
            <w:tcW w:type="dxa" w:w="4535"/>
            <w:vAlign w:val="top"/>
            <w:tcMar>
              <w:top w:w="60" w:type="dxa"/>
              <w:start w:w="60" w:type="dxa"/>
              <w:bottom w:w="60" w:type="dxa"/>
              <w:end w:w="60" w:type="dxa"/>
            </w:tcMar>
          </w:tcPr>
          <w:p>
            <w:pPr>
              <w:spacing w:after="0" w:before="0"/>
            </w:pPr>
            <w:r/>
            <w:r>
              <w:rPr>
                <w:rFonts w:ascii="Aptos" w:hAnsi="Aptos"/>
                <w:b w:val="0"/>
                <w:sz w:val="13"/>
              </w:rPr>
              <w:t>Désactivation autorisée — Désactiver une Policy exige une capability dédiée.</w:t>
            </w:r>
          </w:p>
        </w:tc>
        <w:tc>
          <w:tcPr>
            <w:tcW w:type="dxa" w:w="4082"/>
            <w:vAlign w:val="top"/>
            <w:tcMar>
              <w:top w:w="60" w:type="dxa"/>
              <w:start w:w="60" w:type="dxa"/>
              <w:bottom w:w="60" w:type="dxa"/>
              <w:end w:w="60" w:type="dxa"/>
            </w:tcMar>
          </w:tcPr>
          <w:p>
            <w:pPr>
              <w:spacing w:after="0" w:before="0"/>
            </w:pPr>
            <w:r/>
            <w:r>
              <w:rPr>
                <w:rFonts w:ascii="Aptos" w:hAnsi="Aptos"/>
                <w:b w:val="0"/>
                <w:sz w:val="13"/>
              </w:rPr>
              <w:t>La désactivation est auditée et idempotente.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capability Policies démontrée.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REQ-POL-031</w:t>
            </w:r>
          </w:p>
        </w:tc>
        <w:tc>
          <w:tcPr>
            <w:tcW w:type="dxa" w:w="4535"/>
            <w:vAlign w:val="top"/>
            <w:tcMar>
              <w:top w:w="60" w:type="dxa"/>
              <w:start w:w="60" w:type="dxa"/>
              <w:bottom w:w="60" w:type="dxa"/>
              <w:end w:w="60" w:type="dxa"/>
            </w:tcMar>
          </w:tcPr>
          <w:p>
            <w:pPr>
              <w:spacing w:after="0" w:before="0"/>
            </w:pPr>
            <w:r/>
            <w:r>
              <w:rPr>
                <w:rFonts w:ascii="Aptos" w:hAnsi="Aptos"/>
                <w:b w:val="0"/>
                <w:sz w:val="13"/>
              </w:rPr>
              <w:t>Historique immuable — Les changements de Policy doivent produire un historique auditable immuable.</w:t>
            </w:r>
          </w:p>
        </w:tc>
        <w:tc>
          <w:tcPr>
            <w:tcW w:type="dxa" w:w="4082"/>
            <w:vAlign w:val="top"/>
            <w:tcMar>
              <w:top w:w="60" w:type="dxa"/>
              <w:start w:w="60" w:type="dxa"/>
              <w:bottom w:w="60" w:type="dxa"/>
              <w:end w:w="60" w:type="dxa"/>
            </w:tcMar>
          </w:tcPr>
          <w:p>
            <w:pPr>
              <w:spacing w:after="0" w:before="0"/>
            </w:pPr>
            <w:r/>
            <w:r>
              <w:rPr>
                <w:rFonts w:ascii="Aptos" w:hAnsi="Aptos"/>
                <w:b w:val="0"/>
                <w:sz w:val="13"/>
              </w:rPr>
              <w:t>Auteur, date, ancienne/nouvelle version et motif/corrélation sont conservés.</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Audit générique de policy non trouvé.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REQ-POL-032</w:t>
            </w:r>
          </w:p>
        </w:tc>
        <w:tc>
          <w:tcPr>
            <w:tcW w:type="dxa" w:w="4535"/>
            <w:vAlign w:val="top"/>
            <w:tcMar>
              <w:top w:w="60" w:type="dxa"/>
              <w:start w:w="60" w:type="dxa"/>
              <w:bottom w:w="60" w:type="dxa"/>
              <w:end w:w="60" w:type="dxa"/>
            </w:tcMar>
          </w:tcPr>
          <w:p>
            <w:pPr>
              <w:spacing w:after="0" w:before="0"/>
            </w:pPr>
            <w:r/>
            <w:r>
              <w:rPr>
                <w:rFonts w:ascii="Aptos" w:hAnsi="Aptos"/>
                <w:b w:val="0"/>
                <w:sz w:val="13"/>
              </w:rPr>
              <w:t>Rollback/reapply — Une version connue doit pouvoir être réappliquée quand cela est techniquement sûr.</w:t>
            </w:r>
          </w:p>
        </w:tc>
        <w:tc>
          <w:tcPr>
            <w:tcW w:type="dxa" w:w="4082"/>
            <w:vAlign w:val="top"/>
            <w:tcMar>
              <w:top w:w="60" w:type="dxa"/>
              <w:start w:w="60" w:type="dxa"/>
              <w:bottom w:w="60" w:type="dxa"/>
              <w:end w:w="60" w:type="dxa"/>
            </w:tcMar>
          </w:tcPr>
          <w:p>
            <w:pPr>
              <w:spacing w:after="0" w:before="0"/>
            </w:pPr>
            <w:r/>
            <w:r>
              <w:rPr>
                <w:rFonts w:ascii="Aptos" w:hAnsi="Aptos"/>
                <w:b w:val="0"/>
                <w:sz w:val="13"/>
              </w:rPr>
              <w:t>Le système ne promet pas un rollback des effets Discord irréversibles.</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version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REQ-POL-033</w:t>
            </w:r>
          </w:p>
        </w:tc>
        <w:tc>
          <w:tcPr>
            <w:tcW w:type="dxa" w:w="4535"/>
            <w:vAlign w:val="top"/>
            <w:tcMar>
              <w:top w:w="60" w:type="dxa"/>
              <w:start w:w="60" w:type="dxa"/>
              <w:bottom w:w="60" w:type="dxa"/>
              <w:end w:w="60" w:type="dxa"/>
            </w:tcMar>
          </w:tcPr>
          <w:p>
            <w:pPr>
              <w:spacing w:after="0" w:before="0"/>
            </w:pPr>
            <w:r/>
            <w:r>
              <w:rPr>
                <w:rFonts w:ascii="Aptos" w:hAnsi="Aptos"/>
                <w:b w:val="0"/>
                <w:sz w:val="13"/>
              </w:rPr>
              <w:t>Cibles supprimées — Une cible de Policy supprimée/inaccessible doit produire un état explicite.</w:t>
            </w:r>
          </w:p>
        </w:tc>
        <w:tc>
          <w:tcPr>
            <w:tcW w:type="dxa" w:w="4082"/>
            <w:vAlign w:val="top"/>
            <w:tcMar>
              <w:top w:w="60" w:type="dxa"/>
              <w:start w:w="60" w:type="dxa"/>
              <w:bottom w:w="60" w:type="dxa"/>
              <w:end w:w="60" w:type="dxa"/>
            </w:tcMar>
          </w:tcPr>
          <w:p>
            <w:pPr>
              <w:spacing w:after="0" w:before="0"/>
            </w:pPr>
            <w:r/>
            <w:r>
              <w:rPr>
                <w:rFonts w:ascii="Aptos" w:hAnsi="Aptos"/>
                <w:b w:val="0"/>
                <w:sz w:val="13"/>
              </w:rPr>
              <w:t>Aucune policy orpheline n’est silencieusement considérée comme valide.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modèle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REQ-POL-034</w:t>
            </w:r>
          </w:p>
        </w:tc>
        <w:tc>
          <w:tcPr>
            <w:tcW w:type="dxa" w:w="4535"/>
            <w:vAlign w:val="top"/>
            <w:tcMar>
              <w:top w:w="60" w:type="dxa"/>
              <w:start w:w="60" w:type="dxa"/>
              <w:bottom w:w="60" w:type="dxa"/>
              <w:end w:w="60" w:type="dxa"/>
            </w:tcMar>
          </w:tcPr>
          <w:p>
            <w:pPr>
              <w:spacing w:after="0" w:before="0"/>
            </w:pPr>
            <w:r/>
            <w:r>
              <w:rPr>
                <w:rFonts w:ascii="Aptos" w:hAnsi="Aptos"/>
                <w:b w:val="0"/>
                <w:sz w:val="13"/>
              </w:rPr>
              <w:t>Drift — Un drift Discord affectant l’évaluation d’une Policy doit être diagnostiquable.</w:t>
            </w:r>
          </w:p>
        </w:tc>
        <w:tc>
          <w:tcPr>
            <w:tcW w:type="dxa" w:w="4082"/>
            <w:vAlign w:val="top"/>
            <w:tcMar>
              <w:top w:w="60" w:type="dxa"/>
              <w:start w:w="60" w:type="dxa"/>
              <w:bottom w:w="60" w:type="dxa"/>
              <w:end w:w="60" w:type="dxa"/>
            </w:tcMar>
          </w:tcPr>
          <w:p>
            <w:pPr>
              <w:spacing w:after="0" w:before="0"/>
            </w:pPr>
            <w:r/>
            <w:r>
              <w:rPr>
                <w:rFonts w:ascii="Aptos" w:hAnsi="Aptos"/>
                <w:b w:val="0"/>
                <w:sz w:val="13"/>
              </w:rPr>
              <w:t>La décision expose fraîcheur/UNKNOWN ou déclenche réconciliation selon criticité.</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Mécanismes de drift existent ailleurs, pas reliés à un moteur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REQ-POL-035</w:t>
            </w:r>
          </w:p>
        </w:tc>
        <w:tc>
          <w:tcPr>
            <w:tcW w:type="dxa" w:w="4535"/>
            <w:vAlign w:val="top"/>
            <w:tcMar>
              <w:top w:w="60" w:type="dxa"/>
              <w:start w:w="60" w:type="dxa"/>
              <w:bottom w:w="60" w:type="dxa"/>
              <w:end w:w="60" w:type="dxa"/>
            </w:tcMar>
          </w:tcPr>
          <w:p>
            <w:pPr>
              <w:spacing w:after="0" w:before="0"/>
            </w:pPr>
            <w:r/>
            <w:r>
              <w:rPr>
                <w:rFonts w:ascii="Aptos" w:hAnsi="Aptos"/>
                <w:b w:val="0"/>
                <w:sz w:val="13"/>
              </w:rPr>
              <w:t>RBAC Policies — Les droits de lire/créer/modifier/activer/retirer des Policies doivent être séparables.</w:t>
            </w:r>
          </w:p>
        </w:tc>
        <w:tc>
          <w:tcPr>
            <w:tcW w:type="dxa" w:w="4082"/>
            <w:vAlign w:val="top"/>
            <w:tcMar>
              <w:top w:w="60" w:type="dxa"/>
              <w:start w:w="60" w:type="dxa"/>
              <w:bottom w:w="60" w:type="dxa"/>
              <w:end w:w="60" w:type="dxa"/>
            </w:tcMar>
          </w:tcPr>
          <w:p>
            <w:pPr>
              <w:spacing w:after="0" w:before="0"/>
            </w:pPr>
            <w:r/>
            <w:r>
              <w:rPr>
                <w:rFonts w:ascii="Aptos" w:hAnsi="Aptos"/>
                <w:b w:val="0"/>
                <w:sz w:val="13"/>
              </w:rPr>
              <w:t>Capabilities indépendantes et testées cross-tenant.</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module Policies.</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REQ-POL-036</w:t>
            </w:r>
          </w:p>
        </w:tc>
        <w:tc>
          <w:tcPr>
            <w:tcW w:type="dxa" w:w="4535"/>
            <w:vAlign w:val="top"/>
            <w:tcMar>
              <w:top w:w="60" w:type="dxa"/>
              <w:start w:w="60" w:type="dxa"/>
              <w:bottom w:w="60" w:type="dxa"/>
              <w:end w:w="60" w:type="dxa"/>
            </w:tcMar>
          </w:tcPr>
          <w:p>
            <w:pPr>
              <w:spacing w:after="0" w:before="0"/>
            </w:pPr>
            <w:r/>
            <w:r>
              <w:rPr>
                <w:rFonts w:ascii="Aptos" w:hAnsi="Aptos"/>
                <w:b w:val="0"/>
                <w:sz w:val="13"/>
              </w:rPr>
              <w:t>Aucun cross-tenant — Une Policy tenant-scopée ne peut jamais cibler une ressource d’une autre Guild.</w:t>
            </w:r>
          </w:p>
        </w:tc>
        <w:tc>
          <w:tcPr>
            <w:tcW w:type="dxa" w:w="4082"/>
            <w:vAlign w:val="top"/>
            <w:tcMar>
              <w:top w:w="60" w:type="dxa"/>
              <w:start w:w="60" w:type="dxa"/>
              <w:bottom w:w="60" w:type="dxa"/>
              <w:end w:w="60" w:type="dxa"/>
            </w:tcMar>
          </w:tcPr>
          <w:p>
            <w:pPr>
              <w:spacing w:after="0" w:before="0"/>
            </w:pPr>
            <w:r/>
            <w:r>
              <w:rPr>
                <w:rFonts w:ascii="Aptos" w:hAnsi="Aptos"/>
                <w:b w:val="0"/>
                <w:sz w:val="13"/>
              </w:rPr>
              <w:t>Validation applicative + RLS/contraintes empêchent la référence.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stockage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REQ-POL-037</w:t>
            </w:r>
          </w:p>
        </w:tc>
        <w:tc>
          <w:tcPr>
            <w:tcW w:type="dxa" w:w="4535"/>
            <w:vAlign w:val="top"/>
            <w:tcMar>
              <w:top w:w="60" w:type="dxa"/>
              <w:start w:w="60" w:type="dxa"/>
              <w:bottom w:w="60" w:type="dxa"/>
              <w:end w:w="60" w:type="dxa"/>
            </w:tcMar>
          </w:tcPr>
          <w:p>
            <w:pPr>
              <w:spacing w:after="0" w:before="0"/>
            </w:pPr>
            <w:r/>
            <w:r>
              <w:rPr>
                <w:rFonts w:ascii="Aptos" w:hAnsi="Aptos"/>
                <w:b w:val="0"/>
                <w:sz w:val="13"/>
              </w:rPr>
              <w:t>Isolation RLS — Les tables de Policies tenant-scopées doivent utiliser les mêmes défenses RLS que les autres données tenant.</w:t>
            </w:r>
          </w:p>
        </w:tc>
        <w:tc>
          <w:tcPr>
            <w:tcW w:type="dxa" w:w="4082"/>
            <w:vAlign w:val="top"/>
            <w:tcMar>
              <w:top w:w="60" w:type="dxa"/>
              <w:start w:w="60" w:type="dxa"/>
              <w:bottom w:w="60" w:type="dxa"/>
              <w:end w:w="60" w:type="dxa"/>
            </w:tcMar>
          </w:tcPr>
          <w:p>
            <w:pPr>
              <w:spacing w:after="0" w:before="0"/>
            </w:pPr>
            <w:r/>
            <w:r>
              <w:rPr>
                <w:rFonts w:ascii="Aptos" w:hAnsi="Aptos"/>
                <w:b w:val="0"/>
                <w:sz w:val="13"/>
              </w:rPr>
              <w:t>Test A/B réel: policy A inaccessible depuis tenant B.</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table générique trouvée.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REQ-POL-038</w:t>
            </w:r>
          </w:p>
        </w:tc>
        <w:tc>
          <w:tcPr>
            <w:tcW w:type="dxa" w:w="4535"/>
            <w:vAlign w:val="top"/>
            <w:tcMar>
              <w:top w:w="60" w:type="dxa"/>
              <w:start w:w="60" w:type="dxa"/>
              <w:bottom w:w="60" w:type="dxa"/>
              <w:end w:w="60" w:type="dxa"/>
            </w:tcMar>
          </w:tcPr>
          <w:p>
            <w:pPr>
              <w:spacing w:after="0" w:before="0"/>
            </w:pPr>
            <w:r/>
            <w:r>
              <w:rPr>
                <w:rFonts w:ascii="Aptos" w:hAnsi="Aptos"/>
                <w:b w:val="0"/>
                <w:sz w:val="13"/>
              </w:rPr>
              <w:t>Idempotence — Créer/activer/désactiver une Policy doit tolérer les retries.</w:t>
            </w:r>
          </w:p>
        </w:tc>
        <w:tc>
          <w:tcPr>
            <w:tcW w:type="dxa" w:w="4082"/>
            <w:vAlign w:val="top"/>
            <w:tcMar>
              <w:top w:w="60" w:type="dxa"/>
              <w:start w:w="60" w:type="dxa"/>
              <w:bottom w:w="60" w:type="dxa"/>
              <w:end w:w="60" w:type="dxa"/>
            </w:tcMar>
          </w:tcPr>
          <w:p>
            <w:pPr>
              <w:spacing w:after="0" w:before="0"/>
            </w:pPr>
            <w:r/>
            <w:r>
              <w:rPr>
                <w:rFonts w:ascii="Aptos" w:hAnsi="Aptos"/>
                <w:b w:val="0"/>
                <w:sz w:val="13"/>
              </w:rPr>
              <w:t>Clé/idempotency semantics empêche double activation ou versions incohérentes.</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workflow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REQ-POL-039</w:t>
            </w:r>
          </w:p>
        </w:tc>
        <w:tc>
          <w:tcPr>
            <w:tcW w:type="dxa" w:w="4535"/>
            <w:vAlign w:val="top"/>
            <w:tcMar>
              <w:top w:w="60" w:type="dxa"/>
              <w:start w:w="60" w:type="dxa"/>
              <w:bottom w:w="60" w:type="dxa"/>
              <w:end w:w="60" w:type="dxa"/>
            </w:tcMar>
          </w:tcPr>
          <w:p>
            <w:pPr>
              <w:spacing w:after="0" w:before="0"/>
            </w:pPr>
            <w:r/>
            <w:r>
              <w:rPr>
                <w:rFonts w:ascii="Aptos" w:hAnsi="Aptos"/>
                <w:b w:val="0"/>
                <w:sz w:val="13"/>
              </w:rPr>
              <w:t>Concurrence — Deux éditions concurrentes ne doivent pas s’écraser silencieusement.</w:t>
            </w:r>
          </w:p>
        </w:tc>
        <w:tc>
          <w:tcPr>
            <w:tcW w:type="dxa" w:w="4082"/>
            <w:vAlign w:val="top"/>
            <w:tcMar>
              <w:top w:w="60" w:type="dxa"/>
              <w:start w:w="60" w:type="dxa"/>
              <w:bottom w:w="60" w:type="dxa"/>
              <w:end w:w="60" w:type="dxa"/>
            </w:tcMar>
          </w:tcPr>
          <w:p>
            <w:pPr>
              <w:spacing w:after="0" w:before="0"/>
            </w:pPr>
            <w:r/>
            <w:r>
              <w:rPr>
                <w:rFonts w:ascii="Aptos" w:hAnsi="Aptos"/>
                <w:b w:val="0"/>
                <w:sz w:val="13"/>
              </w:rPr>
              <w:t>Optimistic locking/version check ou équivalent produit un conflit explicite.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workflow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REQ-POL-040</w:t>
            </w:r>
          </w:p>
        </w:tc>
        <w:tc>
          <w:tcPr>
            <w:tcW w:type="dxa" w:w="4535"/>
            <w:vAlign w:val="top"/>
            <w:tcMar>
              <w:top w:w="60" w:type="dxa"/>
              <w:start w:w="60" w:type="dxa"/>
              <w:bottom w:w="60" w:type="dxa"/>
              <w:end w:w="60" w:type="dxa"/>
            </w:tcMar>
          </w:tcPr>
          <w:p>
            <w:pPr>
              <w:spacing w:after="0" w:before="0"/>
            </w:pPr>
            <w:r/>
            <w:r>
              <w:rPr>
                <w:rFonts w:ascii="Aptos" w:hAnsi="Aptos"/>
                <w:b w:val="0"/>
                <w:sz w:val="13"/>
              </w:rPr>
              <w:t>Fail closed critique — Une Policy de sécurité non évaluée faute de données ne doit pas devenir permissive.</w:t>
            </w:r>
          </w:p>
        </w:tc>
        <w:tc>
          <w:tcPr>
            <w:tcW w:type="dxa" w:w="4082"/>
            <w:vAlign w:val="top"/>
            <w:tcMar>
              <w:top w:w="60" w:type="dxa"/>
              <w:start w:w="60" w:type="dxa"/>
              <w:bottom w:w="60" w:type="dxa"/>
              <w:end w:w="60" w:type="dxa"/>
            </w:tcMar>
          </w:tcPr>
          <w:p>
            <w:pPr>
              <w:spacing w:after="0" w:before="0"/>
            </w:pPr>
            <w:r/>
            <w:r>
              <w:rPr>
                <w:rFonts w:ascii="Aptos" w:hAnsi="Aptos"/>
                <w:b w:val="0"/>
                <w:sz w:val="13"/>
              </w:rPr>
              <w:t>Résultat UNKNOWN/BLOCKED; aucune autorisation implicite.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Permission engine actuel sait représenter incomplete/unknown; pas de policy engine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REQ-POL-041</w:t>
            </w:r>
          </w:p>
        </w:tc>
        <w:tc>
          <w:tcPr>
            <w:tcW w:type="dxa" w:w="4535"/>
            <w:vAlign w:val="top"/>
            <w:tcMar>
              <w:top w:w="60" w:type="dxa"/>
              <w:start w:w="60" w:type="dxa"/>
              <w:bottom w:w="60" w:type="dxa"/>
              <w:end w:w="60" w:type="dxa"/>
            </w:tcMar>
          </w:tcPr>
          <w:p>
            <w:pPr>
              <w:spacing w:after="0" w:before="0"/>
            </w:pPr>
            <w:r/>
            <w:r>
              <w:rPr>
                <w:rFonts w:ascii="Aptos" w:hAnsi="Aptos"/>
                <w:b w:val="0"/>
                <w:sz w:val="13"/>
              </w:rPr>
              <w:t>Mode simple — L’éditeur simple de Policy doit utiliser un vocabulaire humain.</w:t>
            </w:r>
          </w:p>
        </w:tc>
        <w:tc>
          <w:tcPr>
            <w:tcW w:type="dxa" w:w="4082"/>
            <w:vAlign w:val="top"/>
            <w:tcMar>
              <w:top w:w="60" w:type="dxa"/>
              <w:start w:w="60" w:type="dxa"/>
              <w:bottom w:w="60" w:type="dxa"/>
              <w:end w:w="60" w:type="dxa"/>
            </w:tcMar>
          </w:tcPr>
          <w:p>
            <w:pPr>
              <w:spacing w:after="0" w:before="0"/>
            </w:pPr>
            <w:r/>
            <w:r>
              <w:rPr>
                <w:rFonts w:ascii="Aptos" w:hAnsi="Aptos"/>
                <w:b w:val="0"/>
                <w:sz w:val="13"/>
              </w:rPr>
              <w:t>L’administrateur peut configurer sans connaître un DSL ni les bits Discord.</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d’UI Policies.</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REQ-POL-042</w:t>
            </w:r>
          </w:p>
        </w:tc>
        <w:tc>
          <w:tcPr>
            <w:tcW w:type="dxa" w:w="4535"/>
            <w:vAlign w:val="top"/>
            <w:tcMar>
              <w:top w:w="60" w:type="dxa"/>
              <w:start w:w="60" w:type="dxa"/>
              <w:bottom w:w="60" w:type="dxa"/>
              <w:end w:w="60" w:type="dxa"/>
            </w:tcMar>
          </w:tcPr>
          <w:p>
            <w:pPr>
              <w:spacing w:after="0" w:before="0"/>
            </w:pPr>
            <w:r/>
            <w:r>
              <w:rPr>
                <w:rFonts w:ascii="Aptos" w:hAnsi="Aptos"/>
                <w:b w:val="0"/>
                <w:sz w:val="13"/>
              </w:rPr>
              <w:t>Mode expert — Un mode expert doit exposer conditions, scopes, priorités et résultat de résolution.</w:t>
            </w:r>
          </w:p>
        </w:tc>
        <w:tc>
          <w:tcPr>
            <w:tcW w:type="dxa" w:w="4082"/>
            <w:vAlign w:val="top"/>
            <w:tcMar>
              <w:top w:w="60" w:type="dxa"/>
              <w:start w:w="60" w:type="dxa"/>
              <w:bottom w:w="60" w:type="dxa"/>
              <w:end w:w="60" w:type="dxa"/>
            </w:tcMar>
          </w:tcPr>
          <w:p>
            <w:pPr>
              <w:spacing w:after="0" w:before="0"/>
            </w:pPr>
            <w:r/>
            <w:r>
              <w:rPr>
                <w:rFonts w:ascii="Aptos" w:hAnsi="Aptos"/>
                <w:b w:val="0"/>
                <w:sz w:val="13"/>
              </w:rPr>
              <w:t>Tous les détails normatifs sont inspectables sans modifier le mode simple.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d’UI Policies.</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REQ-POL-043</w:t>
            </w:r>
          </w:p>
        </w:tc>
        <w:tc>
          <w:tcPr>
            <w:tcW w:type="dxa" w:w="4535"/>
            <w:vAlign w:val="top"/>
            <w:tcMar>
              <w:top w:w="60" w:type="dxa"/>
              <w:start w:w="60" w:type="dxa"/>
              <w:bottom w:w="60" w:type="dxa"/>
              <w:end w:w="60" w:type="dxa"/>
            </w:tcMar>
          </w:tcPr>
          <w:p>
            <w:pPr>
              <w:spacing w:after="0" w:before="0"/>
            </w:pPr>
            <w:r/>
            <w:r>
              <w:rPr>
                <w:rFonts w:ascii="Aptos" w:hAnsi="Aptos"/>
                <w:b w:val="0"/>
                <w:sz w:val="13"/>
              </w:rPr>
              <w:t>Proposition par assistant — Un Wizard peut proposer une Policy en brouillon.</w:t>
            </w:r>
          </w:p>
        </w:tc>
        <w:tc>
          <w:tcPr>
            <w:tcW w:type="dxa" w:w="4082"/>
            <w:vAlign w:val="top"/>
            <w:tcMar>
              <w:top w:w="60" w:type="dxa"/>
              <w:start w:w="60" w:type="dxa"/>
              <w:bottom w:w="60" w:type="dxa"/>
              <w:end w:w="60" w:type="dxa"/>
            </w:tcMar>
          </w:tcPr>
          <w:p>
            <w:pPr>
              <w:spacing w:after="0" w:before="0"/>
            </w:pPr>
            <w:r/>
            <w:r>
              <w:rPr>
                <w:rFonts w:ascii="Aptos" w:hAnsi="Aptos"/>
                <w:b w:val="0"/>
                <w:sz w:val="13"/>
              </w:rPr>
              <w:t>La policy proposée est visible/éditable avant activation.</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Wizard implémenté.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REQ-POL-044</w:t>
            </w:r>
          </w:p>
        </w:tc>
        <w:tc>
          <w:tcPr>
            <w:tcW w:type="dxa" w:w="4535"/>
            <w:vAlign w:val="top"/>
            <w:tcMar>
              <w:top w:w="60" w:type="dxa"/>
              <w:start w:w="60" w:type="dxa"/>
              <w:bottom w:w="60" w:type="dxa"/>
              <w:end w:w="60" w:type="dxa"/>
            </w:tcMar>
          </w:tcPr>
          <w:p>
            <w:pPr>
              <w:spacing w:after="0" w:before="0"/>
            </w:pPr>
            <w:r/>
            <w:r>
              <w:rPr>
                <w:rFonts w:ascii="Aptos" w:hAnsi="Aptos"/>
                <w:b w:val="0"/>
                <w:sz w:val="13"/>
              </w:rPr>
              <w:t>Pas d’activation silencieuse — Un Wizard/template ne doit jamais activer silencieusement une Policy à impact significatif.</w:t>
            </w:r>
          </w:p>
        </w:tc>
        <w:tc>
          <w:tcPr>
            <w:tcW w:type="dxa" w:w="4082"/>
            <w:vAlign w:val="top"/>
            <w:tcMar>
              <w:top w:w="60" w:type="dxa"/>
              <w:start w:w="60" w:type="dxa"/>
              <w:bottom w:w="60" w:type="dxa"/>
              <w:end w:w="60" w:type="dxa"/>
            </w:tcMar>
          </w:tcPr>
          <w:p>
            <w:pPr>
              <w:spacing w:after="0" w:before="0"/>
            </w:pPr>
            <w:r/>
            <w:r>
              <w:rPr>
                <w:rFonts w:ascii="Aptos" w:hAnsi="Aptos"/>
                <w:b w:val="0"/>
                <w:sz w:val="13"/>
              </w:rPr>
              <w:t>Activation passe par impact, confirmation et capability.</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workflow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REQ-POL-045</w:t>
            </w:r>
          </w:p>
        </w:tc>
        <w:tc>
          <w:tcPr>
            <w:tcW w:type="dxa" w:w="4535"/>
            <w:vAlign w:val="top"/>
            <w:tcMar>
              <w:top w:w="60" w:type="dxa"/>
              <w:start w:w="60" w:type="dxa"/>
              <w:bottom w:w="60" w:type="dxa"/>
              <w:end w:w="60" w:type="dxa"/>
            </w:tcMar>
          </w:tcPr>
          <w:p>
            <w:pPr>
              <w:spacing w:after="0" w:before="0"/>
            </w:pPr>
            <w:r/>
            <w:r>
              <w:rPr>
                <w:rFonts w:ascii="Aptos" w:hAnsi="Aptos"/>
                <w:b w:val="0"/>
                <w:sz w:val="13"/>
              </w:rPr>
              <w:t>Lien Plan — Une Policy modifiant indirectement Discord doit produire ou alimenter le plan canonique.</w:t>
            </w:r>
          </w:p>
        </w:tc>
        <w:tc>
          <w:tcPr>
            <w:tcW w:type="dxa" w:w="4082"/>
            <w:vAlign w:val="top"/>
            <w:tcMar>
              <w:top w:w="60" w:type="dxa"/>
              <w:start w:w="60" w:type="dxa"/>
              <w:bottom w:w="60" w:type="dxa"/>
              <w:end w:w="60" w:type="dxa"/>
            </w:tcMar>
          </w:tcPr>
          <w:p>
            <w:pPr>
              <w:spacing w:after="0" w:before="0"/>
            </w:pPr>
            <w:r/>
            <w:r>
              <w:rPr>
                <w:rFonts w:ascii="Aptos" w:hAnsi="Aptos"/>
                <w:b w:val="0"/>
                <w:sz w:val="13"/>
              </w:rPr>
              <w:t>Plan_id et policy_version sont corrélés.</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d’intégration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REQ-POL-046</w:t>
            </w:r>
          </w:p>
        </w:tc>
        <w:tc>
          <w:tcPr>
            <w:tcW w:type="dxa" w:w="4535"/>
            <w:vAlign w:val="top"/>
            <w:tcMar>
              <w:top w:w="60" w:type="dxa"/>
              <w:start w:w="60" w:type="dxa"/>
              <w:bottom w:w="60" w:type="dxa"/>
              <w:end w:w="60" w:type="dxa"/>
            </w:tcMar>
          </w:tcPr>
          <w:p>
            <w:pPr>
              <w:spacing w:after="0" w:before="0"/>
            </w:pPr>
            <w:r/>
            <w:r>
              <w:rPr>
                <w:rFonts w:ascii="Aptos" w:hAnsi="Aptos"/>
                <w:b w:val="0"/>
                <w:sz w:val="13"/>
              </w:rPr>
              <w:t>Lien Opération — Les opérations générées par une Policy doivent indiquer leur origine.</w:t>
            </w:r>
          </w:p>
        </w:tc>
        <w:tc>
          <w:tcPr>
            <w:tcW w:type="dxa" w:w="4082"/>
            <w:vAlign w:val="top"/>
            <w:tcMar>
              <w:top w:w="60" w:type="dxa"/>
              <w:start w:w="60" w:type="dxa"/>
              <w:bottom w:w="60" w:type="dxa"/>
              <w:end w:w="60" w:type="dxa"/>
            </w:tcMar>
          </w:tcPr>
          <w:p>
            <w:pPr>
              <w:spacing w:after="0" w:before="0"/>
            </w:pPr>
            <w:r/>
            <w:r>
              <w:rPr>
                <w:rFonts w:ascii="Aptos" w:hAnsi="Aptos"/>
                <w:b w:val="0"/>
                <w:sz w:val="13"/>
              </w:rPr>
              <w:t>Chaque opération permet de remonter à la policy/version déclenchante.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provenance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REQ-POL-047</w:t>
            </w:r>
          </w:p>
        </w:tc>
        <w:tc>
          <w:tcPr>
            <w:tcW w:type="dxa" w:w="4535"/>
            <w:vAlign w:val="top"/>
            <w:tcMar>
              <w:top w:w="60" w:type="dxa"/>
              <w:start w:w="60" w:type="dxa"/>
              <w:bottom w:w="60" w:type="dxa"/>
              <w:end w:w="60" w:type="dxa"/>
            </w:tcMar>
          </w:tcPr>
          <w:p>
            <w:pPr>
              <w:spacing w:after="0" w:before="0"/>
            </w:pPr>
            <w:r/>
            <w:r>
              <w:rPr>
                <w:rFonts w:ascii="Aptos" w:hAnsi="Aptos"/>
                <w:b w:val="0"/>
                <w:sz w:val="13"/>
              </w:rPr>
              <w:t>Tests résolveur — Le résolveur doit avoir des tests unitaires de vérité.</w:t>
            </w:r>
          </w:p>
        </w:tc>
        <w:tc>
          <w:tcPr>
            <w:tcW w:type="dxa" w:w="4082"/>
            <w:vAlign w:val="top"/>
            <w:tcMar>
              <w:top w:w="60" w:type="dxa"/>
              <w:start w:w="60" w:type="dxa"/>
              <w:bottom w:w="60" w:type="dxa"/>
              <w:end w:w="60" w:type="dxa"/>
            </w:tcMar>
          </w:tcPr>
          <w:p>
            <w:pPr>
              <w:spacing w:after="0" w:before="0"/>
            </w:pPr>
            <w:r/>
            <w:r>
              <w:rPr>
                <w:rFonts w:ascii="Aptos" w:hAnsi="Aptos"/>
                <w:b w:val="0"/>
                <w:sz w:val="13"/>
              </w:rPr>
              <w:t>Matrice allow/deny/unknown/priorité/spécificité couverte.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suite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REQ-POL-048</w:t>
            </w:r>
          </w:p>
        </w:tc>
        <w:tc>
          <w:tcPr>
            <w:tcW w:type="dxa" w:w="4535"/>
            <w:vAlign w:val="top"/>
            <w:tcMar>
              <w:top w:w="60" w:type="dxa"/>
              <w:start w:w="60" w:type="dxa"/>
              <w:bottom w:w="60" w:type="dxa"/>
              <w:end w:w="60" w:type="dxa"/>
            </w:tcMar>
          </w:tcPr>
          <w:p>
            <w:pPr>
              <w:spacing w:after="0" w:before="0"/>
            </w:pPr>
            <w:r/>
            <w:r>
              <w:rPr>
                <w:rFonts w:ascii="Aptos" w:hAnsi="Aptos"/>
                <w:b w:val="0"/>
                <w:sz w:val="13"/>
              </w:rPr>
              <w:t>Tests conflits — Une matrice de conflits doit couvrir les combinaisons critiques.</w:t>
            </w:r>
          </w:p>
        </w:tc>
        <w:tc>
          <w:tcPr>
            <w:tcW w:type="dxa" w:w="4082"/>
            <w:vAlign w:val="top"/>
            <w:tcMar>
              <w:top w:w="60" w:type="dxa"/>
              <w:start w:w="60" w:type="dxa"/>
              <w:bottom w:w="60" w:type="dxa"/>
              <w:end w:w="60" w:type="dxa"/>
            </w:tcMar>
          </w:tcPr>
          <w:p>
            <w:pPr>
              <w:spacing w:after="0" w:before="0"/>
            </w:pPr>
            <w:r/>
            <w:r>
              <w:rPr>
                <w:rFonts w:ascii="Aptos" w:hAnsi="Aptos"/>
                <w:b w:val="0"/>
                <w:sz w:val="13"/>
              </w:rPr>
              <w:t>Chaque combinaison a un résultat déterministe attendu.</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suite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REQ-POL-049</w:t>
            </w:r>
          </w:p>
        </w:tc>
        <w:tc>
          <w:tcPr>
            <w:tcW w:type="dxa" w:w="4535"/>
            <w:vAlign w:val="top"/>
            <w:tcMar>
              <w:top w:w="60" w:type="dxa"/>
              <w:start w:w="60" w:type="dxa"/>
              <w:bottom w:w="60" w:type="dxa"/>
              <w:end w:w="60" w:type="dxa"/>
            </w:tcMar>
          </w:tcPr>
          <w:p>
            <w:pPr>
              <w:spacing w:after="0" w:before="0"/>
            </w:pPr>
            <w:r/>
            <w:r>
              <w:rPr>
                <w:rFonts w:ascii="Aptos" w:hAnsi="Aptos"/>
                <w:b w:val="0"/>
                <w:sz w:val="13"/>
              </w:rPr>
              <w:t>Tests héritage — Les règles d’héritage doivent être testées sur au moins Guild→groupe→catégorie→salon.</w:t>
            </w:r>
          </w:p>
        </w:tc>
        <w:tc>
          <w:tcPr>
            <w:tcW w:type="dxa" w:w="4082"/>
            <w:vAlign w:val="top"/>
            <w:tcMar>
              <w:top w:w="60" w:type="dxa"/>
              <w:start w:w="60" w:type="dxa"/>
              <w:bottom w:w="60" w:type="dxa"/>
              <w:end w:w="60" w:type="dxa"/>
            </w:tcMar>
          </w:tcPr>
          <w:p>
            <w:pPr>
              <w:spacing w:after="0" w:before="0"/>
            </w:pPr>
            <w:r/>
            <w:r>
              <w:rPr>
                <w:rFonts w:ascii="Aptos" w:hAnsi="Aptos"/>
                <w:b w:val="0"/>
                <w:sz w:val="13"/>
              </w:rPr>
              <w:t>Tests prouvent override et héritage sans dépendre de l’ordre de création.</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suite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REQ-POL-050</w:t>
            </w:r>
          </w:p>
        </w:tc>
        <w:tc>
          <w:tcPr>
            <w:tcW w:type="dxa" w:w="4535"/>
            <w:vAlign w:val="top"/>
            <w:tcMar>
              <w:top w:w="60" w:type="dxa"/>
              <w:start w:w="60" w:type="dxa"/>
              <w:bottom w:w="60" w:type="dxa"/>
              <w:end w:w="60" w:type="dxa"/>
            </w:tcMar>
          </w:tcPr>
          <w:p>
            <w:pPr>
              <w:spacing w:after="0" w:before="0"/>
            </w:pPr>
            <w:r/>
            <w:r>
              <w:rPr>
                <w:rFonts w:ascii="Aptos" w:hAnsi="Aptos"/>
                <w:b w:val="0"/>
                <w:sz w:val="13"/>
              </w:rPr>
              <w:t>Tests isolation/API — CRUD et activation Policies doivent avoir tests d’autorisation et cross-tenant.</w:t>
            </w:r>
          </w:p>
        </w:tc>
        <w:tc>
          <w:tcPr>
            <w:tcW w:type="dxa" w:w="4082"/>
            <w:vAlign w:val="top"/>
            <w:tcMar>
              <w:top w:w="60" w:type="dxa"/>
              <w:start w:w="60" w:type="dxa"/>
              <w:bottom w:w="60" w:type="dxa"/>
              <w:end w:w="60" w:type="dxa"/>
            </w:tcMar>
          </w:tcPr>
          <w:p>
            <w:pPr>
              <w:spacing w:after="0" w:before="0"/>
            </w:pPr>
            <w:r/>
            <w:r>
              <w:rPr>
                <w:rFonts w:ascii="Aptos" w:hAnsi="Aptos"/>
                <w:b w:val="0"/>
                <w:sz w:val="13"/>
              </w:rPr>
              <w:t>403/404 non révélateur et zéro effet cross-tenant.</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d’API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REQ-POL-051</w:t>
            </w:r>
          </w:p>
        </w:tc>
        <w:tc>
          <w:tcPr>
            <w:tcW w:type="dxa" w:w="4535"/>
            <w:vAlign w:val="top"/>
            <w:tcMar>
              <w:top w:w="60" w:type="dxa"/>
              <w:start w:w="60" w:type="dxa"/>
              <w:bottom w:w="60" w:type="dxa"/>
              <w:end w:w="60" w:type="dxa"/>
            </w:tcMar>
          </w:tcPr>
          <w:p>
            <w:pPr>
              <w:spacing w:after="0" w:before="0"/>
            </w:pPr>
            <w:r/>
            <w:r>
              <w:rPr>
                <w:rFonts w:ascii="Aptos" w:hAnsi="Aptos"/>
                <w:b w:val="0"/>
                <w:sz w:val="13"/>
              </w:rPr>
              <w:t>Tests persistance/preflight/E2E — Le sous-système Policies doit avoir tests persistance, preflight, E2E et failure/retry.</w:t>
            </w:r>
          </w:p>
        </w:tc>
        <w:tc>
          <w:tcPr>
            <w:tcW w:type="dxa" w:w="4082"/>
            <w:vAlign w:val="top"/>
            <w:tcMar>
              <w:top w:w="60" w:type="dxa"/>
              <w:start w:w="60" w:type="dxa"/>
              <w:bottom w:w="60" w:type="dxa"/>
              <w:end w:w="60" w:type="dxa"/>
            </w:tcMar>
          </w:tcPr>
          <w:p>
            <w:pPr>
              <w:spacing w:after="0" w:before="0"/>
            </w:pPr>
            <w:r/>
            <w:r>
              <w:rPr>
                <w:rFonts w:ascii="Aptos" w:hAnsi="Aptos"/>
                <w:b w:val="0"/>
                <w:sz w:val="13"/>
              </w:rPr>
              <w:t>CI couvre au moins création→preview→activation→enforcement→audit→désactivation.</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sous-système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REQ-POL-052</w:t>
            </w:r>
          </w:p>
        </w:tc>
        <w:tc>
          <w:tcPr>
            <w:tcW w:type="dxa" w:w="4535"/>
            <w:vAlign w:val="top"/>
            <w:tcMar>
              <w:top w:w="60" w:type="dxa"/>
              <w:start w:w="60" w:type="dxa"/>
              <w:bottom w:w="60" w:type="dxa"/>
              <w:end w:w="60" w:type="dxa"/>
            </w:tcMar>
          </w:tcPr>
          <w:p>
            <w:pPr>
              <w:spacing w:after="0" w:before="0"/>
            </w:pPr>
            <w:r/>
            <w:r>
              <w:rPr>
                <w:rFonts w:ascii="Aptos" w:hAnsi="Aptos"/>
                <w:b w:val="0"/>
                <w:sz w:val="13"/>
              </w:rPr>
              <w:t>Réutilisation d’un moteur mature — Avant de développer un DSL/rules engine maison, l’équipe doit évaluer des bibliothèques maintenues compatibles.</w:t>
            </w:r>
          </w:p>
        </w:tc>
        <w:tc>
          <w:tcPr>
            <w:tcW w:type="dxa" w:w="4082"/>
            <w:vAlign w:val="top"/>
            <w:tcMar>
              <w:top w:w="60" w:type="dxa"/>
              <w:start w:w="60" w:type="dxa"/>
              <w:bottom w:w="60" w:type="dxa"/>
              <w:end w:w="60" w:type="dxa"/>
            </w:tcMar>
          </w:tcPr>
          <w:p>
            <w:pPr>
              <w:spacing w:after="0" w:before="0"/>
            </w:pPr>
            <w:r/>
            <w:r>
              <w:rPr>
                <w:rFonts w:ascii="Aptos" w:hAnsi="Aptos"/>
                <w:b w:val="0"/>
                <w:sz w:val="13"/>
              </w:rPr>
              <w:t>Décision ADR documente maintenance, licence, sécurité, expressivité, déterminisme, sandboxing et abstraction interne.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Aucune décision spécifique de moteur générique de Policies trouvée.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REQ-POL-053</w:t>
            </w:r>
          </w:p>
        </w:tc>
        <w:tc>
          <w:tcPr>
            <w:tcW w:type="dxa" w:w="4535"/>
            <w:vAlign w:val="top"/>
            <w:tcMar>
              <w:top w:w="60" w:type="dxa"/>
              <w:start w:w="60" w:type="dxa"/>
              <w:bottom w:w="60" w:type="dxa"/>
              <w:end w:w="60" w:type="dxa"/>
            </w:tcMar>
          </w:tcPr>
          <w:p>
            <w:pPr>
              <w:spacing w:after="0" w:before="0"/>
            </w:pPr>
            <w:r/>
            <w:r>
              <w:rPr>
                <w:rFonts w:ascii="Aptos" w:hAnsi="Aptos"/>
                <w:b w:val="0"/>
                <w:sz w:val="13"/>
              </w:rPr>
              <w:t>Distinction policies spécialisées — Les policies message-content/translation existantes ne doivent pas être présentées comme un moteur de gouvernance générique.</w:t>
            </w:r>
          </w:p>
        </w:tc>
        <w:tc>
          <w:tcPr>
            <w:tcW w:type="dxa" w:w="4082"/>
            <w:vAlign w:val="top"/>
            <w:tcMar>
              <w:top w:w="60" w:type="dxa"/>
              <w:start w:w="60" w:type="dxa"/>
              <w:bottom w:w="60" w:type="dxa"/>
              <w:end w:w="60" w:type="dxa"/>
            </w:tcMar>
          </w:tcPr>
          <w:p>
            <w:pPr>
              <w:spacing w:after="0" w:before="0"/>
            </w:pPr>
            <w:r/>
            <w:r>
              <w:rPr>
                <w:rFonts w:ascii="Aptos" w:hAnsi="Aptos"/>
                <w:b w:val="0"/>
                <w:sz w:val="13"/>
              </w:rPr>
              <w:t>Documentation/UI distingue helpers spécialisés et Policy Engine générique.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produit + REF-ARCH (Domain/Policies)</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message_content_policy.py et translation_policy.py inspectés; absence de moteur générique confirmée.</w:t>
            </w:r>
          </w:p>
        </w:tc>
      </w:tr>
    </w:tbl>
    <w:p/>
    <w:p>
      <w:pPr>
        <w:pStyle w:val="Heading2"/>
      </w:pPr>
      <w:r>
        <w:t>5.2 Assistants / Wizards</w:t>
      </w:r>
    </w:p>
    <w:tbl>
      <w:tblPr>
        <w:tblW w:type="auto" w:w="0"/>
        <w:jc w:val="center"/>
        <w:tblLayout w:type="fixed"/>
        <w:tblLook w:firstColumn="1" w:firstRow="1" w:lastColumn="0" w:lastRow="0" w:noHBand="0" w:noVBand="1" w:val="04A0"/>
      </w:tblPr>
      <w:tblGrid>
        <w:gridCol w:w="1247"/>
        <w:gridCol w:w="4535"/>
        <w:gridCol w:w="4082"/>
        <w:gridCol w:w="1701"/>
        <w:gridCol w:w="1474"/>
        <w:gridCol w:w="2948"/>
      </w:tblGrid>
      <w:tr>
        <w:trPr>
          <w:tblHeader w:val="true"/>
          <w:cantSplit/>
        </w:trPr>
        <w:tc>
          <w:tcPr>
            <w:tcW w:type="dxa" w:w="2580"/>
            <w:vAlign w:val="top"/>
            <w:tcMar>
              <w:top w:w="60" w:type="dxa"/>
              <w:start w:w="60" w:type="dxa"/>
              <w:bottom w:w="60" w:type="dxa"/>
              <w:end w:w="60" w:type="dxa"/>
            </w:tcMar>
            <w:shd w:fill="D9EAF7"/>
          </w:tcPr>
          <w:p>
            <w:pPr>
              <w:spacing w:after="0" w:before="0"/>
            </w:pPr>
            <w:r/>
            <w:r>
              <w:rPr>
                <w:rFonts w:ascii="Aptos" w:hAnsi="Aptos"/>
                <w:b/>
                <w:sz w:val="14"/>
              </w:rPr>
              <w:t>ID</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Exigence atomique</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Critère d’acceptation</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Source</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Statut</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Preuve / écart</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REQ-WIZ-001</w:t>
            </w:r>
          </w:p>
        </w:tc>
        <w:tc>
          <w:tcPr>
            <w:tcW w:type="dxa" w:w="4535"/>
            <w:vAlign w:val="top"/>
            <w:tcMar>
              <w:top w:w="60" w:type="dxa"/>
              <w:start w:w="60" w:type="dxa"/>
              <w:bottom w:w="60" w:type="dxa"/>
              <w:end w:w="60" w:type="dxa"/>
            </w:tcMar>
          </w:tcPr>
          <w:p>
            <w:pPr>
              <w:spacing w:after="0" w:before="0"/>
            </w:pPr>
            <w:r/>
            <w:r>
              <w:rPr>
                <w:rFonts w:ascii="Aptos" w:hAnsi="Aptos"/>
                <w:b w:val="0"/>
                <w:sz w:val="13"/>
              </w:rPr>
              <w:t>Entrée dédiée — Le dashboard doit proposer une entrée visible “Assistants” ou “Wizards”.</w:t>
            </w:r>
          </w:p>
        </w:tc>
        <w:tc>
          <w:tcPr>
            <w:tcW w:type="dxa" w:w="4082"/>
            <w:vAlign w:val="top"/>
            <w:tcMar>
              <w:top w:w="60" w:type="dxa"/>
              <w:start w:w="60" w:type="dxa"/>
              <w:bottom w:w="60" w:type="dxa"/>
              <w:end w:w="60" w:type="dxa"/>
            </w:tcMar>
          </w:tcPr>
          <w:p>
            <w:pPr>
              <w:spacing w:after="0" w:before="0"/>
            </w:pPr>
            <w:r/>
            <w:r>
              <w:rPr>
                <w:rFonts w:ascii="Aptos" w:hAnsi="Aptos"/>
                <w:b w:val="0"/>
                <w:sz w:val="13"/>
              </w:rPr>
              <w:t>L’entrée est accessible depuis la navigation principale et localisée.</w:t>
            </w:r>
          </w:p>
        </w:tc>
        <w:tc>
          <w:tcPr>
            <w:tcW w:type="dxa" w:w="1701"/>
            <w:vAlign w:val="top"/>
            <w:tcMar>
              <w:top w:w="60" w:type="dxa"/>
              <w:start w:w="60" w:type="dxa"/>
              <w:bottom w:w="60" w:type="dxa"/>
              <w:end w:w="60" w:type="dxa"/>
            </w:tcMar>
          </w:tcPr>
          <w:p>
            <w:pPr>
              <w:spacing w:after="0" w:before="0"/>
            </w:pPr>
            <w:r/>
            <w:r>
              <w:rPr>
                <w:rFonts w:ascii="Aptos" w:hAnsi="Aptos"/>
                <w:b w:val="0"/>
                <w:sz w:val="13"/>
              </w:rPr>
              <w:t>REF-FONC §5.4 + décisions produit</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Recherche code “wizard” ne retourne que le référentiel, pas d’implémentation frontend.</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REQ-WIZ-002</w:t>
            </w:r>
          </w:p>
        </w:tc>
        <w:tc>
          <w:tcPr>
            <w:tcW w:type="dxa" w:w="4535"/>
            <w:vAlign w:val="top"/>
            <w:tcMar>
              <w:top w:w="60" w:type="dxa"/>
              <w:start w:w="60" w:type="dxa"/>
              <w:bottom w:w="60" w:type="dxa"/>
              <w:end w:w="60" w:type="dxa"/>
            </w:tcMar>
          </w:tcPr>
          <w:p>
            <w:pPr>
              <w:spacing w:after="0" w:before="0"/>
            </w:pPr>
            <w:r/>
            <w:r>
              <w:rPr>
                <w:rFonts w:ascii="Aptos" w:hAnsi="Aptos"/>
                <w:b w:val="0"/>
                <w:sz w:val="13"/>
              </w:rPr>
              <w:t>Catalogue d’assistants — Les assistants disponibles doivent être listés avec objectif, portée et prérequis.</w:t>
            </w:r>
          </w:p>
        </w:tc>
        <w:tc>
          <w:tcPr>
            <w:tcW w:type="dxa" w:w="4082"/>
            <w:vAlign w:val="top"/>
            <w:tcMar>
              <w:top w:w="60" w:type="dxa"/>
              <w:start w:w="60" w:type="dxa"/>
              <w:bottom w:w="60" w:type="dxa"/>
              <w:end w:w="60" w:type="dxa"/>
            </w:tcMar>
          </w:tcPr>
          <w:p>
            <w:pPr>
              <w:spacing w:after="0" w:before="0"/>
            </w:pPr>
            <w:r/>
            <w:r>
              <w:rPr>
                <w:rFonts w:ascii="Aptos" w:hAnsi="Aptos"/>
                <w:b w:val="0"/>
                <w:sz w:val="13"/>
              </w:rPr>
              <w:t>L’utilisateur sait ce que chaque assistant modifiera avant de démarrer.</w:t>
            </w:r>
          </w:p>
        </w:tc>
        <w:tc>
          <w:tcPr>
            <w:tcW w:type="dxa" w:w="1701"/>
            <w:vAlign w:val="top"/>
            <w:tcMar>
              <w:top w:w="60" w:type="dxa"/>
              <w:start w:w="60" w:type="dxa"/>
              <w:bottom w:w="60" w:type="dxa"/>
              <w:end w:w="60" w:type="dxa"/>
            </w:tcMar>
          </w:tcPr>
          <w:p>
            <w:pPr>
              <w:spacing w:after="0" w:before="0"/>
            </w:pPr>
            <w:r/>
            <w:r>
              <w:rPr>
                <w:rFonts w:ascii="Aptos" w:hAnsi="Aptos"/>
                <w:b w:val="0"/>
                <w:sz w:val="13"/>
              </w:rPr>
              <w:t>REF-FONC §5.4 + décisions produit</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Aucun module frontend wizard identifié.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REQ-WIZ-003</w:t>
            </w:r>
          </w:p>
        </w:tc>
        <w:tc>
          <w:tcPr>
            <w:tcW w:type="dxa" w:w="4535"/>
            <w:vAlign w:val="top"/>
            <w:tcMar>
              <w:top w:w="60" w:type="dxa"/>
              <w:start w:w="60" w:type="dxa"/>
              <w:bottom w:w="60" w:type="dxa"/>
              <w:end w:w="60" w:type="dxa"/>
            </w:tcMar>
          </w:tcPr>
          <w:p>
            <w:pPr>
              <w:spacing w:after="0" w:before="0"/>
            </w:pPr>
            <w:r/>
            <w:r>
              <w:rPr>
                <w:rFonts w:ascii="Aptos" w:hAnsi="Aptos"/>
                <w:b w:val="0"/>
                <w:sz w:val="13"/>
              </w:rPr>
              <w:t>Étapes guidées — Un assistant est un flux multi-étapes explicite avec retour arrière.</w:t>
            </w:r>
          </w:p>
        </w:tc>
        <w:tc>
          <w:tcPr>
            <w:tcW w:type="dxa" w:w="4082"/>
            <w:vAlign w:val="top"/>
            <w:tcMar>
              <w:top w:w="60" w:type="dxa"/>
              <w:start w:w="60" w:type="dxa"/>
              <w:bottom w:w="60" w:type="dxa"/>
              <w:end w:w="60" w:type="dxa"/>
            </w:tcMar>
          </w:tcPr>
          <w:p>
            <w:pPr>
              <w:spacing w:after="0" w:before="0"/>
            </w:pPr>
            <w:r/>
            <w:r>
              <w:rPr>
                <w:rFonts w:ascii="Aptos" w:hAnsi="Aptos"/>
                <w:b w:val="0"/>
                <w:sz w:val="13"/>
              </w:rPr>
              <w:t>Changer une réponse recalcule les étapes dépendantes sans mutation Discord.</w:t>
            </w:r>
          </w:p>
        </w:tc>
        <w:tc>
          <w:tcPr>
            <w:tcW w:type="dxa" w:w="1701"/>
            <w:vAlign w:val="top"/>
            <w:tcMar>
              <w:top w:w="60" w:type="dxa"/>
              <w:start w:w="60" w:type="dxa"/>
              <w:bottom w:w="60" w:type="dxa"/>
              <w:end w:w="60" w:type="dxa"/>
            </w:tcMar>
          </w:tcPr>
          <w:p>
            <w:pPr>
              <w:spacing w:after="0" w:before="0"/>
            </w:pPr>
            <w:r/>
            <w:r>
              <w:rPr>
                <w:rFonts w:ascii="Aptos" w:hAnsi="Aptos"/>
                <w:b w:val="0"/>
                <w:sz w:val="13"/>
              </w:rPr>
              <w:t>REF-FONC §5.4 + décisions produit</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Aucun wizard implémenté trouvé.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REQ-WIZ-004</w:t>
            </w:r>
          </w:p>
        </w:tc>
        <w:tc>
          <w:tcPr>
            <w:tcW w:type="dxa" w:w="4535"/>
            <w:vAlign w:val="top"/>
            <w:tcMar>
              <w:top w:w="60" w:type="dxa"/>
              <w:start w:w="60" w:type="dxa"/>
              <w:bottom w:w="60" w:type="dxa"/>
              <w:end w:w="60" w:type="dxa"/>
            </w:tcMar>
          </w:tcPr>
          <w:p>
            <w:pPr>
              <w:spacing w:after="0" w:before="0"/>
            </w:pPr>
            <w:r/>
            <w:r>
              <w:rPr>
                <w:rFonts w:ascii="Aptos" w:hAnsi="Aptos"/>
                <w:b w:val="0"/>
                <w:sz w:val="13"/>
              </w:rPr>
              <w:t>Adaptation à l’état réel — Les questions et propositions d’un assistant doivent dépendre de l’état actuel de la Guild.</w:t>
            </w:r>
          </w:p>
        </w:tc>
        <w:tc>
          <w:tcPr>
            <w:tcW w:type="dxa" w:w="4082"/>
            <w:vAlign w:val="top"/>
            <w:tcMar>
              <w:top w:w="60" w:type="dxa"/>
              <w:start w:w="60" w:type="dxa"/>
              <w:bottom w:w="60" w:type="dxa"/>
              <w:end w:w="60" w:type="dxa"/>
            </w:tcMar>
          </w:tcPr>
          <w:p>
            <w:pPr>
              <w:spacing w:after="0" w:before="0"/>
            </w:pPr>
            <w:r/>
            <w:r>
              <w:rPr>
                <w:rFonts w:ascii="Aptos" w:hAnsi="Aptos"/>
                <w:b w:val="0"/>
                <w:sz w:val="13"/>
              </w:rPr>
              <w:t>Les rôles/catégories/salons existants sont proposés plutôt que recréés aveuglément.</w:t>
            </w:r>
          </w:p>
        </w:tc>
        <w:tc>
          <w:tcPr>
            <w:tcW w:type="dxa" w:w="1701"/>
            <w:vAlign w:val="top"/>
            <w:tcMar>
              <w:top w:w="60" w:type="dxa"/>
              <w:start w:w="60" w:type="dxa"/>
              <w:bottom w:w="60" w:type="dxa"/>
              <w:end w:w="60" w:type="dxa"/>
            </w:tcMar>
          </w:tcPr>
          <w:p>
            <w:pPr>
              <w:spacing w:after="0" w:before="0"/>
            </w:pPr>
            <w:r/>
            <w:r>
              <w:rPr>
                <w:rFonts w:ascii="Aptos" w:hAnsi="Aptos"/>
                <w:b w:val="0"/>
                <w:sz w:val="13"/>
              </w:rPr>
              <w:t>REF-FONC §5.4 + décisions produit</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d’orchestrateur wizard.</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REQ-WIZ-005</w:t>
            </w:r>
          </w:p>
        </w:tc>
        <w:tc>
          <w:tcPr>
            <w:tcW w:type="dxa" w:w="4535"/>
            <w:vAlign w:val="top"/>
            <w:tcMar>
              <w:top w:w="60" w:type="dxa"/>
              <w:start w:w="60" w:type="dxa"/>
              <w:bottom w:w="60" w:type="dxa"/>
              <w:end w:w="60" w:type="dxa"/>
            </w:tcMar>
          </w:tcPr>
          <w:p>
            <w:pPr>
              <w:spacing w:after="0" w:before="0"/>
            </w:pPr>
            <w:r/>
            <w:r>
              <w:rPr>
                <w:rFonts w:ascii="Aptos" w:hAnsi="Aptos"/>
                <w:b w:val="0"/>
                <w:sz w:val="13"/>
              </w:rPr>
              <w:t>Rôles existants — Toute étape demandant un rôle doit proposer les rôles compatibles existants.</w:t>
            </w:r>
          </w:p>
        </w:tc>
        <w:tc>
          <w:tcPr>
            <w:tcW w:type="dxa" w:w="4082"/>
            <w:vAlign w:val="top"/>
            <w:tcMar>
              <w:top w:w="60" w:type="dxa"/>
              <w:start w:w="60" w:type="dxa"/>
              <w:bottom w:w="60" w:type="dxa"/>
              <w:end w:w="60" w:type="dxa"/>
            </w:tcMar>
          </w:tcPr>
          <w:p>
            <w:pPr>
              <w:spacing w:after="0" w:before="0"/>
            </w:pPr>
            <w:r/>
            <w:r>
              <w:rPr>
                <w:rFonts w:ascii="Aptos" w:hAnsi="Aptos"/>
                <w:b w:val="0"/>
                <w:sz w:val="13"/>
              </w:rPr>
              <w:t>Liste issue du read-model tenant courant; rôles inaccessibles signalés.</w:t>
            </w:r>
          </w:p>
        </w:tc>
        <w:tc>
          <w:tcPr>
            <w:tcW w:type="dxa" w:w="1701"/>
            <w:vAlign w:val="top"/>
            <w:tcMar>
              <w:top w:w="60" w:type="dxa"/>
              <w:start w:w="60" w:type="dxa"/>
              <w:bottom w:w="60" w:type="dxa"/>
              <w:end w:w="60" w:type="dxa"/>
            </w:tcMar>
          </w:tcPr>
          <w:p>
            <w:pPr>
              <w:spacing w:after="0" w:before="0"/>
            </w:pPr>
            <w:r/>
            <w:r>
              <w:rPr>
                <w:rFonts w:ascii="Aptos" w:hAnsi="Aptos"/>
                <w:b w:val="0"/>
                <w:sz w:val="13"/>
              </w:rPr>
              <w:t>REF-FONC §5.4 + décisions produit</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wizard.</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REQ-WIZ-006</w:t>
            </w:r>
          </w:p>
        </w:tc>
        <w:tc>
          <w:tcPr>
            <w:tcW w:type="dxa" w:w="4535"/>
            <w:vAlign w:val="top"/>
            <w:tcMar>
              <w:top w:w="60" w:type="dxa"/>
              <w:start w:w="60" w:type="dxa"/>
              <w:bottom w:w="60" w:type="dxa"/>
              <w:end w:w="60" w:type="dxa"/>
            </w:tcMar>
          </w:tcPr>
          <w:p>
            <w:pPr>
              <w:spacing w:after="0" w:before="0"/>
            </w:pPr>
            <w:r/>
            <w:r>
              <w:rPr>
                <w:rFonts w:ascii="Aptos" w:hAnsi="Aptos"/>
                <w:b w:val="0"/>
                <w:sz w:val="13"/>
              </w:rPr>
              <w:t>Rôles manquants suggérés — Si un rôle pertinent n’existe pas, l’assistant doit proposer sa création.</w:t>
            </w:r>
          </w:p>
        </w:tc>
        <w:tc>
          <w:tcPr>
            <w:tcW w:type="dxa" w:w="4082"/>
            <w:vAlign w:val="top"/>
            <w:tcMar>
              <w:top w:w="60" w:type="dxa"/>
              <w:start w:w="60" w:type="dxa"/>
              <w:bottom w:w="60" w:type="dxa"/>
              <w:end w:w="60" w:type="dxa"/>
            </w:tcMar>
          </w:tcPr>
          <w:p>
            <w:pPr>
              <w:spacing w:after="0" w:before="0"/>
            </w:pPr>
            <w:r/>
            <w:r>
              <w:rPr>
                <w:rFonts w:ascii="Aptos" w:hAnsi="Aptos"/>
                <w:b w:val="0"/>
                <w:sz w:val="13"/>
              </w:rPr>
              <w:t>La suggestion est marquée “sera créé” et n’est pas confondue avec un rôle existant.</w:t>
            </w:r>
          </w:p>
        </w:tc>
        <w:tc>
          <w:tcPr>
            <w:tcW w:type="dxa" w:w="1701"/>
            <w:vAlign w:val="top"/>
            <w:tcMar>
              <w:top w:w="60" w:type="dxa"/>
              <w:start w:w="60" w:type="dxa"/>
              <w:bottom w:w="60" w:type="dxa"/>
              <w:end w:w="60" w:type="dxa"/>
            </w:tcMar>
          </w:tcPr>
          <w:p>
            <w:pPr>
              <w:spacing w:after="0" w:before="0"/>
            </w:pPr>
            <w:r/>
            <w:r>
              <w:rPr>
                <w:rFonts w:ascii="Aptos" w:hAnsi="Aptos"/>
                <w:b w:val="0"/>
                <w:sz w:val="13"/>
              </w:rPr>
              <w:t>REF-FONC §5.4 + décisions produit</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wizard.</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REQ-WIZ-007</w:t>
            </w:r>
          </w:p>
        </w:tc>
        <w:tc>
          <w:tcPr>
            <w:tcW w:type="dxa" w:w="4535"/>
            <w:vAlign w:val="top"/>
            <w:tcMar>
              <w:top w:w="60" w:type="dxa"/>
              <w:start w:w="60" w:type="dxa"/>
              <w:bottom w:w="60" w:type="dxa"/>
              <w:end w:w="60" w:type="dxa"/>
            </w:tcMar>
          </w:tcPr>
          <w:p>
            <w:pPr>
              <w:spacing w:after="0" w:before="0"/>
            </w:pPr>
            <w:r/>
            <w:r>
              <w:rPr>
                <w:rFonts w:ascii="Aptos" w:hAnsi="Aptos"/>
                <w:b w:val="0"/>
                <w:sz w:val="13"/>
              </w:rPr>
              <w:t>Création libre + — Les sélecteurs de rôle des assistants doivent offrir “+ Créer un rôle”.</w:t>
            </w:r>
          </w:p>
        </w:tc>
        <w:tc>
          <w:tcPr>
            <w:tcW w:type="dxa" w:w="4082"/>
            <w:vAlign w:val="top"/>
            <w:tcMar>
              <w:top w:w="60" w:type="dxa"/>
              <w:start w:w="60" w:type="dxa"/>
              <w:bottom w:w="60" w:type="dxa"/>
              <w:end w:w="60" w:type="dxa"/>
            </w:tcMar>
          </w:tcPr>
          <w:p>
            <w:pPr>
              <w:spacing w:after="0" w:before="0"/>
            </w:pPr>
            <w:r/>
            <w:r>
              <w:rPr>
                <w:rFonts w:ascii="Aptos" w:hAnsi="Aptos"/>
                <w:b w:val="0"/>
                <w:sz w:val="13"/>
              </w:rPr>
              <w:t>L’utilisateur peut définir nom/couleur/propriétés minimales sans quitter le flux.</w:t>
            </w:r>
          </w:p>
        </w:tc>
        <w:tc>
          <w:tcPr>
            <w:tcW w:type="dxa" w:w="1701"/>
            <w:vAlign w:val="top"/>
            <w:tcMar>
              <w:top w:w="60" w:type="dxa"/>
              <w:start w:w="60" w:type="dxa"/>
              <w:bottom w:w="60" w:type="dxa"/>
              <w:end w:w="60" w:type="dxa"/>
            </w:tcMar>
          </w:tcPr>
          <w:p>
            <w:pPr>
              <w:spacing w:after="0" w:before="0"/>
            </w:pPr>
            <w:r/>
            <w:r>
              <w:rPr>
                <w:rFonts w:ascii="Aptos" w:hAnsi="Aptos"/>
                <w:b w:val="0"/>
                <w:sz w:val="13"/>
              </w:rPr>
              <w:t>REF-FONC §5.4 + décisions produit</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wizard.</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REQ-WIZ-008</w:t>
            </w:r>
          </w:p>
        </w:tc>
        <w:tc>
          <w:tcPr>
            <w:tcW w:type="dxa" w:w="4535"/>
            <w:vAlign w:val="top"/>
            <w:tcMar>
              <w:top w:w="60" w:type="dxa"/>
              <w:start w:w="60" w:type="dxa"/>
              <w:bottom w:w="60" w:type="dxa"/>
              <w:end w:w="60" w:type="dxa"/>
            </w:tcMar>
          </w:tcPr>
          <w:p>
            <w:pPr>
              <w:spacing w:after="0" w:before="0"/>
            </w:pPr>
            <w:r/>
            <w:r>
              <w:rPr>
                <w:rFonts w:ascii="Aptos" w:hAnsi="Aptos"/>
                <w:b w:val="0"/>
                <w:sz w:val="13"/>
              </w:rPr>
              <w:t>Édition avant plan — Toute ressource suggérée doit être éditable avant compilation du plan.</w:t>
            </w:r>
          </w:p>
        </w:tc>
        <w:tc>
          <w:tcPr>
            <w:tcW w:type="dxa" w:w="4082"/>
            <w:vAlign w:val="top"/>
            <w:tcMar>
              <w:top w:w="60" w:type="dxa"/>
              <w:start w:w="60" w:type="dxa"/>
              <w:bottom w:w="60" w:type="dxa"/>
              <w:end w:w="60" w:type="dxa"/>
            </w:tcMar>
          </w:tcPr>
          <w:p>
            <w:pPr>
              <w:spacing w:after="0" w:before="0"/>
            </w:pPr>
            <w:r/>
            <w:r>
              <w:rPr>
                <w:rFonts w:ascii="Aptos" w:hAnsi="Aptos"/>
                <w:b w:val="0"/>
                <w:sz w:val="13"/>
              </w:rPr>
              <w:t>Aucun nom/permission suggéré n’est imposé sans possibilité de correction.</w:t>
            </w:r>
          </w:p>
        </w:tc>
        <w:tc>
          <w:tcPr>
            <w:tcW w:type="dxa" w:w="1701"/>
            <w:vAlign w:val="top"/>
            <w:tcMar>
              <w:top w:w="60" w:type="dxa"/>
              <w:start w:w="60" w:type="dxa"/>
              <w:bottom w:w="60" w:type="dxa"/>
              <w:end w:w="60" w:type="dxa"/>
            </w:tcMar>
          </w:tcPr>
          <w:p>
            <w:pPr>
              <w:spacing w:after="0" w:before="0"/>
            </w:pPr>
            <w:r/>
            <w:r>
              <w:rPr>
                <w:rFonts w:ascii="Aptos" w:hAnsi="Aptos"/>
                <w:b w:val="0"/>
                <w:sz w:val="13"/>
              </w:rPr>
              <w:t>REF-FONC §5.4 + décisions produit</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wizard.</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REQ-WIZ-009</w:t>
            </w:r>
          </w:p>
        </w:tc>
        <w:tc>
          <w:tcPr>
            <w:tcW w:type="dxa" w:w="4535"/>
            <w:vAlign w:val="top"/>
            <w:tcMar>
              <w:top w:w="60" w:type="dxa"/>
              <w:start w:w="60" w:type="dxa"/>
              <w:bottom w:w="60" w:type="dxa"/>
              <w:end w:w="60" w:type="dxa"/>
            </w:tcMar>
          </w:tcPr>
          <w:p>
            <w:pPr>
              <w:spacing w:after="0" w:before="0"/>
            </w:pPr>
            <w:r/>
            <w:r>
              <w:rPr>
                <w:rFonts w:ascii="Aptos" w:hAnsi="Aptos"/>
                <w:b w:val="0"/>
                <w:sz w:val="13"/>
              </w:rPr>
              <w:t>Plan canonique — Un assistant ne doit jamais appeler Discord par une voie parallèle.</w:t>
            </w:r>
          </w:p>
        </w:tc>
        <w:tc>
          <w:tcPr>
            <w:tcW w:type="dxa" w:w="4082"/>
            <w:vAlign w:val="top"/>
            <w:tcMar>
              <w:top w:w="60" w:type="dxa"/>
              <w:start w:w="60" w:type="dxa"/>
              <w:bottom w:w="60" w:type="dxa"/>
              <w:end w:w="60" w:type="dxa"/>
            </w:tcMar>
          </w:tcPr>
          <w:p>
            <w:pPr>
              <w:spacing w:after="0" w:before="0"/>
            </w:pPr>
            <w:r/>
            <w:r>
              <w:rPr>
                <w:rFonts w:ascii="Aptos" w:hAnsi="Aptos"/>
                <w:b w:val="0"/>
                <w:sz w:val="13"/>
              </w:rPr>
              <w:t>Toutes les mutations se compilent dans le même Plan/Preflight/Impact/Confirmation/APPLY.</w:t>
            </w:r>
          </w:p>
        </w:tc>
        <w:tc>
          <w:tcPr>
            <w:tcW w:type="dxa" w:w="1701"/>
            <w:vAlign w:val="top"/>
            <w:tcMar>
              <w:top w:w="60" w:type="dxa"/>
              <w:start w:w="60" w:type="dxa"/>
              <w:bottom w:w="60" w:type="dxa"/>
              <w:end w:w="60" w:type="dxa"/>
            </w:tcMar>
          </w:tcPr>
          <w:p>
            <w:pPr>
              <w:spacing w:after="0" w:before="0"/>
            </w:pPr>
            <w:r/>
            <w:r>
              <w:rPr>
                <w:rFonts w:ascii="Aptos" w:hAnsi="Aptos"/>
                <w:b w:val="0"/>
                <w:sz w:val="13"/>
              </w:rPr>
              <w:t>REF-FONC §5.4 + décisions produit</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Planning canonique existe, mais aucun wizard branché dessus.</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REQ-WIZ-010</w:t>
            </w:r>
          </w:p>
        </w:tc>
        <w:tc>
          <w:tcPr>
            <w:tcW w:type="dxa" w:w="4535"/>
            <w:vAlign w:val="top"/>
            <w:tcMar>
              <w:top w:w="60" w:type="dxa"/>
              <w:start w:w="60" w:type="dxa"/>
              <w:bottom w:w="60" w:type="dxa"/>
              <w:end w:w="60" w:type="dxa"/>
            </w:tcMar>
          </w:tcPr>
          <w:p>
            <w:pPr>
              <w:spacing w:after="0" w:before="0"/>
            </w:pPr>
            <w:r/>
            <w:r>
              <w:rPr>
                <w:rFonts w:ascii="Aptos" w:hAnsi="Aptos"/>
                <w:b w:val="0"/>
                <w:sz w:val="13"/>
              </w:rPr>
              <w:t>Annulation sûre — Annuler un assistant avant APPLY ne doit produire aucune mutation Discord.</w:t>
            </w:r>
          </w:p>
        </w:tc>
        <w:tc>
          <w:tcPr>
            <w:tcW w:type="dxa" w:w="4082"/>
            <w:vAlign w:val="top"/>
            <w:tcMar>
              <w:top w:w="60" w:type="dxa"/>
              <w:start w:w="60" w:type="dxa"/>
              <w:bottom w:w="60" w:type="dxa"/>
              <w:end w:w="60" w:type="dxa"/>
            </w:tcMar>
          </w:tcPr>
          <w:p>
            <w:pPr>
              <w:spacing w:after="0" w:before="0"/>
            </w:pPr>
            <w:r/>
            <w:r>
              <w:rPr>
                <w:rFonts w:ascii="Aptos" w:hAnsi="Aptos"/>
                <w:b w:val="0"/>
                <w:sz w:val="13"/>
              </w:rPr>
              <w:t>Aucun effet autre que brouillon/audit minimal local.</w:t>
            </w:r>
          </w:p>
        </w:tc>
        <w:tc>
          <w:tcPr>
            <w:tcW w:type="dxa" w:w="1701"/>
            <w:vAlign w:val="top"/>
            <w:tcMar>
              <w:top w:w="60" w:type="dxa"/>
              <w:start w:w="60" w:type="dxa"/>
              <w:bottom w:w="60" w:type="dxa"/>
              <w:end w:w="60" w:type="dxa"/>
            </w:tcMar>
          </w:tcPr>
          <w:p>
            <w:pPr>
              <w:spacing w:after="0" w:before="0"/>
            </w:pPr>
            <w:r/>
            <w:r>
              <w:rPr>
                <w:rFonts w:ascii="Aptos" w:hAnsi="Aptos"/>
                <w:b w:val="0"/>
                <w:sz w:val="13"/>
              </w:rPr>
              <w:t>REF-FONC §5.4 + décisions produit</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wizard.</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REQ-WIZ-011</w:t>
            </w:r>
          </w:p>
        </w:tc>
        <w:tc>
          <w:tcPr>
            <w:tcW w:type="dxa" w:w="4535"/>
            <w:vAlign w:val="top"/>
            <w:tcMar>
              <w:top w:w="60" w:type="dxa"/>
              <w:start w:w="60" w:type="dxa"/>
              <w:bottom w:w="60" w:type="dxa"/>
              <w:end w:w="60" w:type="dxa"/>
            </w:tcMar>
          </w:tcPr>
          <w:p>
            <w:pPr>
              <w:spacing w:after="0" w:before="0"/>
            </w:pPr>
            <w:r/>
            <w:r>
              <w:rPr>
                <w:rFonts w:ascii="Aptos" w:hAnsi="Aptos"/>
                <w:b w:val="0"/>
                <w:sz w:val="13"/>
              </w:rPr>
              <w:t>Premier setup 9 étapes — L’assistant de première configuration doit couvrir les neuf contrôles du §5.4 fonctionnel.</w:t>
            </w:r>
          </w:p>
        </w:tc>
        <w:tc>
          <w:tcPr>
            <w:tcW w:type="dxa" w:w="4082"/>
            <w:vAlign w:val="top"/>
            <w:tcMar>
              <w:top w:w="60" w:type="dxa"/>
              <w:start w:w="60" w:type="dxa"/>
              <w:bottom w:w="60" w:type="dxa"/>
              <w:end w:w="60" w:type="dxa"/>
            </w:tcMar>
          </w:tcPr>
          <w:p>
            <w:pPr>
              <w:spacing w:after="0" w:before="0"/>
            </w:pPr>
            <w:r/>
            <w:r>
              <w:rPr>
                <w:rFonts w:ascii="Aptos" w:hAnsi="Aptos"/>
                <w:b w:val="0"/>
                <w:sz w:val="13"/>
              </w:rPr>
              <w:t>Bot présent, identité, droit bootstrap, perms bot, import, audit initial, limites, config proposée, activation tenant.</w:t>
            </w:r>
          </w:p>
        </w:tc>
        <w:tc>
          <w:tcPr>
            <w:tcW w:type="dxa" w:w="1701"/>
            <w:vAlign w:val="top"/>
            <w:tcMar>
              <w:top w:w="60" w:type="dxa"/>
              <w:start w:w="60" w:type="dxa"/>
              <w:bottom w:w="60" w:type="dxa"/>
              <w:end w:w="60" w:type="dxa"/>
            </w:tcMar>
          </w:tcPr>
          <w:p>
            <w:pPr>
              <w:spacing w:after="0" w:before="0"/>
            </w:pPr>
            <w:r/>
            <w:r>
              <w:rPr>
                <w:rFonts w:ascii="Aptos" w:hAnsi="Aptos"/>
                <w:b w:val="0"/>
                <w:sz w:val="13"/>
              </w:rPr>
              <w:t>REF-FONC §5.4 + décisions produit</w:t>
            </w:r>
          </w:p>
        </w:tc>
        <w:tc>
          <w:tcPr>
            <w:tcW w:type="dxa" w:w="1474"/>
            <w:vAlign w:val="top"/>
            <w:tcMar>
              <w:top w:w="60" w:type="dxa"/>
              <w:start w:w="60" w:type="dxa"/>
              <w:bottom w:w="60" w:type="dxa"/>
              <w:end w:w="60" w:type="dxa"/>
            </w:tcMar>
            <w:shd w:fill="E7E6E6"/>
          </w:tcPr>
          <w:p>
            <w:pPr>
              <w:spacing w:after="0" w:before="0"/>
            </w:pPr>
            <w:r/>
            <w:r>
              <w:rPr>
                <w:rFonts w:ascii="Aptos" w:hAnsi="Aptos"/>
                <w:b/>
                <w:sz w:val="13"/>
              </w:rPr>
              <w:t>NON DÉMONTRÉ</w:t>
            </w:r>
          </w:p>
        </w:tc>
        <w:tc>
          <w:tcPr>
            <w:tcW w:type="dxa" w:w="2948"/>
            <w:vAlign w:val="top"/>
            <w:tcMar>
              <w:top w:w="60" w:type="dxa"/>
              <w:start w:w="60" w:type="dxa"/>
              <w:bottom w:w="60" w:type="dxa"/>
              <w:end w:w="60" w:type="dxa"/>
            </w:tcMar>
          </w:tcPr>
          <w:p>
            <w:pPr>
              <w:spacing w:after="0" w:before="0"/>
            </w:pPr>
            <w:r/>
            <w:r>
              <w:rPr>
                <w:rFonts w:ascii="Aptos" w:hAnsi="Aptos"/>
                <w:b w:val="0"/>
                <w:sz w:val="13"/>
              </w:rPr>
              <w:t>Référentiel l’exige; aucun écran Wizard/setup dédié démontré dans l’inventaire frontend.</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REQ-WIZ-012</w:t>
            </w:r>
          </w:p>
        </w:tc>
        <w:tc>
          <w:tcPr>
            <w:tcW w:type="dxa" w:w="4535"/>
            <w:vAlign w:val="top"/>
            <w:tcMar>
              <w:top w:w="60" w:type="dxa"/>
              <w:start w:w="60" w:type="dxa"/>
              <w:bottom w:w="60" w:type="dxa"/>
              <w:end w:w="60" w:type="dxa"/>
            </w:tcMar>
          </w:tcPr>
          <w:p>
            <w:pPr>
              <w:spacing w:after="0" w:before="0"/>
            </w:pPr>
            <w:r/>
            <w:r>
              <w:rPr>
                <w:rFonts w:ascii="Aptos" w:hAnsi="Aptos"/>
                <w:b w:val="0"/>
                <w:sz w:val="13"/>
              </w:rPr>
              <w:t>Moindre privilège — Le setup doit expliquer chaque permission bot demandée et éviter ADMINISTRATOR par commodité.</w:t>
            </w:r>
          </w:p>
        </w:tc>
        <w:tc>
          <w:tcPr>
            <w:tcW w:type="dxa" w:w="4082"/>
            <w:vAlign w:val="top"/>
            <w:tcMar>
              <w:top w:w="60" w:type="dxa"/>
              <w:start w:w="60" w:type="dxa"/>
              <w:bottom w:w="60" w:type="dxa"/>
              <w:end w:w="60" w:type="dxa"/>
            </w:tcMar>
          </w:tcPr>
          <w:p>
            <w:pPr>
              <w:spacing w:after="0" w:before="0"/>
            </w:pPr>
            <w:r/>
            <w:r>
              <w:rPr>
                <w:rFonts w:ascii="Aptos" w:hAnsi="Aptos"/>
                <w:b w:val="0"/>
                <w:sz w:val="13"/>
              </w:rPr>
              <w:t>Une permission manquante désactive seulement les capacités concernées.</w:t>
            </w:r>
          </w:p>
        </w:tc>
        <w:tc>
          <w:tcPr>
            <w:tcW w:type="dxa" w:w="1701"/>
            <w:vAlign w:val="top"/>
            <w:tcMar>
              <w:top w:w="60" w:type="dxa"/>
              <w:start w:w="60" w:type="dxa"/>
              <w:bottom w:w="60" w:type="dxa"/>
              <w:end w:w="60" w:type="dxa"/>
            </w:tcMar>
          </w:tcPr>
          <w:p>
            <w:pPr>
              <w:spacing w:after="0" w:before="0"/>
            </w:pPr>
            <w:r/>
            <w:r>
              <w:rPr>
                <w:rFonts w:ascii="Aptos" w:hAnsi="Aptos"/>
                <w:b w:val="0"/>
                <w:sz w:val="13"/>
              </w:rPr>
              <w:t>REF-FONC §5.4 + décisions produit</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Principe présent dans le référentiel et capability checks existants; flux Wizard non démontré.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REQ-WIZ-013</w:t>
            </w:r>
          </w:p>
        </w:tc>
        <w:tc>
          <w:tcPr>
            <w:tcW w:type="dxa" w:w="4535"/>
            <w:vAlign w:val="top"/>
            <w:tcMar>
              <w:top w:w="60" w:type="dxa"/>
              <w:start w:w="60" w:type="dxa"/>
              <w:bottom w:w="60" w:type="dxa"/>
              <w:end w:w="60" w:type="dxa"/>
            </w:tcMar>
          </w:tcPr>
          <w:p>
            <w:pPr>
              <w:spacing w:after="0" w:before="0"/>
            </w:pPr>
            <w:r/>
            <w:r>
              <w:rPr>
                <w:rFonts w:ascii="Aptos" w:hAnsi="Aptos"/>
                <w:b w:val="0"/>
                <w:sz w:val="13"/>
              </w:rPr>
              <w:t>Policies proposées — Un assistant peut proposer des Policies en DRAFT uniquement.</w:t>
            </w:r>
          </w:p>
        </w:tc>
        <w:tc>
          <w:tcPr>
            <w:tcW w:type="dxa" w:w="4082"/>
            <w:vAlign w:val="top"/>
            <w:tcMar>
              <w:top w:w="60" w:type="dxa"/>
              <w:start w:w="60" w:type="dxa"/>
              <w:bottom w:w="60" w:type="dxa"/>
              <w:end w:w="60" w:type="dxa"/>
            </w:tcMar>
          </w:tcPr>
          <w:p>
            <w:pPr>
              <w:spacing w:after="0" w:before="0"/>
            </w:pPr>
            <w:r/>
            <w:r>
              <w:rPr>
                <w:rFonts w:ascii="Aptos" w:hAnsi="Aptos"/>
                <w:b w:val="0"/>
                <w:sz w:val="13"/>
              </w:rPr>
              <w:t>Activation séparée si impact significatif.</w:t>
            </w:r>
          </w:p>
        </w:tc>
        <w:tc>
          <w:tcPr>
            <w:tcW w:type="dxa" w:w="1701"/>
            <w:vAlign w:val="top"/>
            <w:tcMar>
              <w:top w:w="60" w:type="dxa"/>
              <w:start w:w="60" w:type="dxa"/>
              <w:bottom w:w="60" w:type="dxa"/>
              <w:end w:w="60" w:type="dxa"/>
            </w:tcMar>
          </w:tcPr>
          <w:p>
            <w:pPr>
              <w:spacing w:after="0" w:before="0"/>
            </w:pPr>
            <w:r/>
            <w:r>
              <w:rPr>
                <w:rFonts w:ascii="Aptos" w:hAnsi="Aptos"/>
                <w:b w:val="0"/>
                <w:sz w:val="13"/>
              </w:rPr>
              <w:t>REF-FONC §5.4 + décisions produit</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Ni Wizard ni Policy Engine générique.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REQ-WIZ-014</w:t>
            </w:r>
          </w:p>
        </w:tc>
        <w:tc>
          <w:tcPr>
            <w:tcW w:type="dxa" w:w="4535"/>
            <w:vAlign w:val="top"/>
            <w:tcMar>
              <w:top w:w="60" w:type="dxa"/>
              <w:start w:w="60" w:type="dxa"/>
              <w:bottom w:w="60" w:type="dxa"/>
              <w:end w:w="60" w:type="dxa"/>
            </w:tcMar>
          </w:tcPr>
          <w:p>
            <w:pPr>
              <w:spacing w:after="0" w:before="0"/>
            </w:pPr>
            <w:r/>
            <w:r>
              <w:rPr>
                <w:rFonts w:ascii="Aptos" w:hAnsi="Aptos"/>
                <w:b w:val="0"/>
                <w:sz w:val="13"/>
              </w:rPr>
              <w:t>Localisation/a11y — Tous les textes, erreurs et contrôles Wizard doivent suivre i18n et accessibilité du dashboard.</w:t>
            </w:r>
          </w:p>
        </w:tc>
        <w:tc>
          <w:tcPr>
            <w:tcW w:type="dxa" w:w="4082"/>
            <w:vAlign w:val="top"/>
            <w:tcMar>
              <w:top w:w="60" w:type="dxa"/>
              <w:start w:w="60" w:type="dxa"/>
              <w:bottom w:w="60" w:type="dxa"/>
              <w:end w:w="60" w:type="dxa"/>
            </w:tcMar>
          </w:tcPr>
          <w:p>
            <w:pPr>
              <w:spacing w:after="0" w:before="0"/>
            </w:pPr>
            <w:r/>
            <w:r>
              <w:rPr>
                <w:rFonts w:ascii="Aptos" w:hAnsi="Aptos"/>
                <w:b w:val="0"/>
                <w:sz w:val="13"/>
              </w:rPr>
              <w:t>Aucune chaîne visible hardcodée; navigation clavier complète.</w:t>
            </w:r>
          </w:p>
        </w:tc>
        <w:tc>
          <w:tcPr>
            <w:tcW w:type="dxa" w:w="1701"/>
            <w:vAlign w:val="top"/>
            <w:tcMar>
              <w:top w:w="60" w:type="dxa"/>
              <w:start w:w="60" w:type="dxa"/>
              <w:bottom w:w="60" w:type="dxa"/>
              <w:end w:w="60" w:type="dxa"/>
            </w:tcMar>
          </w:tcPr>
          <w:p>
            <w:pPr>
              <w:spacing w:after="0" w:before="0"/>
            </w:pPr>
            <w:r/>
            <w:r>
              <w:rPr>
                <w:rFonts w:ascii="Aptos" w:hAnsi="Aptos"/>
                <w:b w:val="0"/>
                <w:sz w:val="13"/>
              </w:rPr>
              <w:t>REF-FONC §5.4 + décisions produit</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wizard à tester.</w:t>
            </w:r>
          </w:p>
        </w:tc>
      </w:tr>
    </w:tbl>
    <w:p/>
    <w:p>
      <w:pPr>
        <w:pStyle w:val="Heading2"/>
      </w:pPr>
      <w:r>
        <w:t>5.3 UX, groupes, rôles, nommage</w:t>
      </w:r>
    </w:p>
    <w:tbl>
      <w:tblPr>
        <w:tblW w:type="auto" w:w="0"/>
        <w:jc w:val="center"/>
        <w:tblLayout w:type="fixed"/>
        <w:tblLook w:firstColumn="1" w:firstRow="1" w:lastColumn="0" w:lastRow="0" w:noHBand="0" w:noVBand="1" w:val="04A0"/>
      </w:tblPr>
      <w:tblGrid>
        <w:gridCol w:w="1247"/>
        <w:gridCol w:w="4535"/>
        <w:gridCol w:w="4082"/>
        <w:gridCol w:w="1701"/>
        <w:gridCol w:w="1474"/>
        <w:gridCol w:w="2948"/>
      </w:tblGrid>
      <w:tr>
        <w:trPr>
          <w:tblHeader w:val="true"/>
          <w:cantSplit/>
        </w:trPr>
        <w:tc>
          <w:tcPr>
            <w:tcW w:type="dxa" w:w="2580"/>
            <w:vAlign w:val="top"/>
            <w:tcMar>
              <w:top w:w="60" w:type="dxa"/>
              <w:start w:w="60" w:type="dxa"/>
              <w:bottom w:w="60" w:type="dxa"/>
              <w:end w:w="60" w:type="dxa"/>
            </w:tcMar>
            <w:shd w:fill="D9EAF7"/>
          </w:tcPr>
          <w:p>
            <w:pPr>
              <w:spacing w:after="0" w:before="0"/>
            </w:pPr>
            <w:r/>
            <w:r>
              <w:rPr>
                <w:rFonts w:ascii="Aptos" w:hAnsi="Aptos"/>
                <w:b/>
                <w:sz w:val="14"/>
              </w:rPr>
              <w:t>ID</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Exigence atomique</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Critère d’acceptation</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Source</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Statut</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Preuve / écart</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REQ-UXN-001</w:t>
            </w:r>
          </w:p>
        </w:tc>
        <w:tc>
          <w:tcPr>
            <w:tcW w:type="dxa" w:w="4535"/>
            <w:vAlign w:val="top"/>
            <w:tcMar>
              <w:top w:w="60" w:type="dxa"/>
              <w:start w:w="60" w:type="dxa"/>
              <w:bottom w:w="60" w:type="dxa"/>
              <w:end w:w="60" w:type="dxa"/>
            </w:tcMar>
          </w:tcPr>
          <w:p>
            <w:pPr>
              <w:spacing w:after="0" w:before="0"/>
            </w:pPr>
            <w:r/>
            <w:r>
              <w:rPr>
                <w:rFonts w:ascii="Aptos" w:hAnsi="Aptos"/>
                <w:b w:val="0"/>
                <w:sz w:val="13"/>
              </w:rPr>
              <w:t>Groupes logiques multiples — Une Guild Discord doit pouvoir contenir plusieurs groupes logiques indépendants.</w:t>
            </w:r>
          </w:p>
        </w:tc>
        <w:tc>
          <w:tcPr>
            <w:tcW w:type="dxa" w:w="4082"/>
            <w:vAlign w:val="top"/>
            <w:tcMar>
              <w:top w:w="60" w:type="dxa"/>
              <w:start w:w="60" w:type="dxa"/>
              <w:bottom w:w="60" w:type="dxa"/>
              <w:end w:w="60" w:type="dxa"/>
            </w:tcMar>
          </w:tcPr>
          <w:p>
            <w:pPr>
              <w:spacing w:after="0" w:before="0"/>
            </w:pPr>
            <w:r/>
            <w:r>
              <w:rPr>
                <w:rFonts w:ascii="Aptos" w:hAnsi="Aptos"/>
                <w:b w:val="0"/>
                <w:sz w:val="13"/>
              </w:rPr>
              <w:t>Création de deux groupes sans collision; mêmes catégories/rôles ne sont liés que selon règles explicites.</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§19/21/22</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Concept Logical Group présent; multiplicité complète non réinspectée.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REQ-UXN-002</w:t>
            </w:r>
          </w:p>
        </w:tc>
        <w:tc>
          <w:tcPr>
            <w:tcW w:type="dxa" w:w="4535"/>
            <w:vAlign w:val="top"/>
            <w:tcMar>
              <w:top w:w="60" w:type="dxa"/>
              <w:start w:w="60" w:type="dxa"/>
              <w:bottom w:w="60" w:type="dxa"/>
              <w:end w:w="60" w:type="dxa"/>
            </w:tcMar>
          </w:tcPr>
          <w:p>
            <w:pPr>
              <w:spacing w:after="0" w:before="0"/>
            </w:pPr>
            <w:r/>
            <w:r>
              <w:rPr>
                <w:rFonts w:ascii="Aptos" w:hAnsi="Aptos"/>
                <w:b w:val="0"/>
                <w:sz w:val="13"/>
              </w:rPr>
              <w:t>Identité interne stable — Le concept interne doit rester `logical_group` indépendamment du vocabulaire UI.</w:t>
            </w:r>
          </w:p>
        </w:tc>
        <w:tc>
          <w:tcPr>
            <w:tcW w:type="dxa" w:w="4082"/>
            <w:vAlign w:val="top"/>
            <w:tcMar>
              <w:top w:w="60" w:type="dxa"/>
              <w:start w:w="60" w:type="dxa"/>
              <w:bottom w:w="60" w:type="dxa"/>
              <w:end w:w="60" w:type="dxa"/>
            </w:tcMar>
          </w:tcPr>
          <w:p>
            <w:pPr>
              <w:spacing w:after="0" w:before="0"/>
            </w:pPr>
            <w:r/>
            <w:r>
              <w:rPr>
                <w:rFonts w:ascii="Aptos" w:hAnsi="Aptos"/>
                <w:b w:val="0"/>
                <w:sz w:val="13"/>
              </w:rPr>
              <w:t>Changer le libellé utilisateur n’altère ni ID ni API.</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§19/21/22</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Logical Group est un concept existant; personnalisation du label non trouvée.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REQ-UXN-003</w:t>
            </w:r>
          </w:p>
        </w:tc>
        <w:tc>
          <w:tcPr>
            <w:tcW w:type="dxa" w:w="4535"/>
            <w:vAlign w:val="top"/>
            <w:tcMar>
              <w:top w:w="60" w:type="dxa"/>
              <w:start w:w="60" w:type="dxa"/>
              <w:bottom w:w="60" w:type="dxa"/>
              <w:end w:w="60" w:type="dxa"/>
            </w:tcMar>
          </w:tcPr>
          <w:p>
            <w:pPr>
              <w:spacing w:after="0" w:before="0"/>
            </w:pPr>
            <w:r/>
            <w:r>
              <w:rPr>
                <w:rFonts w:ascii="Aptos" w:hAnsi="Aptos"/>
                <w:b w:val="0"/>
                <w:sz w:val="13"/>
              </w:rPr>
              <w:t>Libellé configurable — L’administrateur peut choisir comment appeler les groupes: Équipe, Guilde, Clan, Projet ou libellé personnalisé.</w:t>
            </w:r>
          </w:p>
        </w:tc>
        <w:tc>
          <w:tcPr>
            <w:tcW w:type="dxa" w:w="4082"/>
            <w:vAlign w:val="top"/>
            <w:tcMar>
              <w:top w:w="60" w:type="dxa"/>
              <w:start w:w="60" w:type="dxa"/>
              <w:bottom w:w="60" w:type="dxa"/>
              <w:end w:w="60" w:type="dxa"/>
            </w:tcMar>
          </w:tcPr>
          <w:p>
            <w:pPr>
              <w:spacing w:after="0" w:before="0"/>
            </w:pPr>
            <w:r/>
            <w:r>
              <w:rPr>
                <w:rFonts w:ascii="Aptos" w:hAnsi="Aptos"/>
                <w:b w:val="0"/>
                <w:sz w:val="13"/>
              </w:rPr>
              <w:t>Le choix s’applique aux libellés UI sans renommer le concept technique.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§19/21/22</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Aucun paramètre de terminologie configurable identifié.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REQ-UXN-004</w:t>
            </w:r>
          </w:p>
        </w:tc>
        <w:tc>
          <w:tcPr>
            <w:tcW w:type="dxa" w:w="4535"/>
            <w:vAlign w:val="top"/>
            <w:tcMar>
              <w:top w:w="60" w:type="dxa"/>
              <w:start w:w="60" w:type="dxa"/>
              <w:bottom w:w="60" w:type="dxa"/>
              <w:end w:w="60" w:type="dxa"/>
            </w:tcMar>
          </w:tcPr>
          <w:p>
            <w:pPr>
              <w:spacing w:after="0" w:before="0"/>
            </w:pPr>
            <w:r/>
            <w:r>
              <w:rPr>
                <w:rFonts w:ascii="Aptos" w:hAnsi="Aptos"/>
                <w:b w:val="0"/>
                <w:sz w:val="13"/>
              </w:rPr>
              <w:t>Aucune confusion Guild — L’UI ne doit jamais confondre un groupe logique avec une Guild Discord réelle.</w:t>
            </w:r>
          </w:p>
        </w:tc>
        <w:tc>
          <w:tcPr>
            <w:tcW w:type="dxa" w:w="4082"/>
            <w:vAlign w:val="top"/>
            <w:tcMar>
              <w:top w:w="60" w:type="dxa"/>
              <w:start w:w="60" w:type="dxa"/>
              <w:bottom w:w="60" w:type="dxa"/>
              <w:end w:w="60" w:type="dxa"/>
            </w:tcMar>
          </w:tcPr>
          <w:p>
            <w:pPr>
              <w:spacing w:after="0" w:before="0"/>
            </w:pPr>
            <w:r/>
            <w:r>
              <w:rPr>
                <w:rFonts w:ascii="Aptos" w:hAnsi="Aptos"/>
                <w:b w:val="0"/>
                <w:sz w:val="13"/>
              </w:rPr>
              <w:t>Les écrans multi-Guild gardent un vocabulaire non ambigu.</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§19/21/22</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Référentiel distingue les concepts; conformité de chaque écran non auditée.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REQ-UXN-005</w:t>
            </w:r>
          </w:p>
        </w:tc>
        <w:tc>
          <w:tcPr>
            <w:tcW w:type="dxa" w:w="4535"/>
            <w:vAlign w:val="top"/>
            <w:tcMar>
              <w:top w:w="60" w:type="dxa"/>
              <w:start w:w="60" w:type="dxa"/>
              <w:bottom w:w="60" w:type="dxa"/>
              <w:end w:w="60" w:type="dxa"/>
            </w:tcMar>
          </w:tcPr>
          <w:p>
            <w:pPr>
              <w:spacing w:after="0" w:before="0"/>
            </w:pPr>
            <w:r/>
            <w:r>
              <w:rPr>
                <w:rFonts w:ascii="Aptos" w:hAnsi="Aptos"/>
                <w:b w:val="0"/>
                <w:sz w:val="13"/>
              </w:rPr>
              <w:t>Renommage second clic — Un élément sélectionné doit pouvoir entrer en renommage inline après un second clic lent sur son libellé.</w:t>
            </w:r>
          </w:p>
        </w:tc>
        <w:tc>
          <w:tcPr>
            <w:tcW w:type="dxa" w:w="4082"/>
            <w:vAlign w:val="top"/>
            <w:tcMar>
              <w:top w:w="60" w:type="dxa"/>
              <w:start w:w="60" w:type="dxa"/>
              <w:bottom w:w="60" w:type="dxa"/>
              <w:end w:w="60" w:type="dxa"/>
            </w:tcMar>
          </w:tcPr>
          <w:p>
            <w:pPr>
              <w:spacing w:after="0" w:before="0"/>
            </w:pPr>
            <w:r/>
            <w:r>
              <w:rPr>
                <w:rFonts w:ascii="Aptos" w:hAnsi="Aptos"/>
                <w:b w:val="0"/>
                <w:sz w:val="13"/>
              </w:rPr>
              <w:t>Premier clic sélectionne; second clic non-double-clic ouvre édition inline.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§19/21/22</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Aucun comportement de type Windows démontré.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REQ-UXN-006</w:t>
            </w:r>
          </w:p>
        </w:tc>
        <w:tc>
          <w:tcPr>
            <w:tcW w:type="dxa" w:w="4535"/>
            <w:vAlign w:val="top"/>
            <w:tcMar>
              <w:top w:w="60" w:type="dxa"/>
              <w:start w:w="60" w:type="dxa"/>
              <w:bottom w:w="60" w:type="dxa"/>
              <w:end w:w="60" w:type="dxa"/>
            </w:tcMar>
          </w:tcPr>
          <w:p>
            <w:pPr>
              <w:spacing w:after="0" w:before="0"/>
            </w:pPr>
            <w:r/>
            <w:r>
              <w:rPr>
                <w:rFonts w:ascii="Aptos" w:hAnsi="Aptos"/>
                <w:b w:val="0"/>
                <w:sz w:val="13"/>
              </w:rPr>
              <w:t>Alternative F2 — F2 doit pouvoir déclencher le renommage quand le composant a le focus.</w:t>
            </w:r>
          </w:p>
        </w:tc>
        <w:tc>
          <w:tcPr>
            <w:tcW w:type="dxa" w:w="4082"/>
            <w:vAlign w:val="top"/>
            <w:tcMar>
              <w:top w:w="60" w:type="dxa"/>
              <w:start w:w="60" w:type="dxa"/>
              <w:bottom w:w="60" w:type="dxa"/>
              <w:end w:w="60" w:type="dxa"/>
            </w:tcMar>
          </w:tcPr>
          <w:p>
            <w:pPr>
              <w:spacing w:after="0" w:before="0"/>
            </w:pPr>
            <w:r/>
            <w:r>
              <w:rPr>
                <w:rFonts w:ascii="Aptos" w:hAnsi="Aptos"/>
                <w:b w:val="0"/>
                <w:sz w:val="13"/>
              </w:rPr>
              <w:t>Même validation et même plan que l’édition inline.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§19/21/22</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Pas de preuve trouvée.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REQ-UXN-007</w:t>
            </w:r>
          </w:p>
        </w:tc>
        <w:tc>
          <w:tcPr>
            <w:tcW w:type="dxa" w:w="4535"/>
            <w:vAlign w:val="top"/>
            <w:tcMar>
              <w:top w:w="60" w:type="dxa"/>
              <w:start w:w="60" w:type="dxa"/>
              <w:bottom w:w="60" w:type="dxa"/>
              <w:end w:w="60" w:type="dxa"/>
            </w:tcMar>
          </w:tcPr>
          <w:p>
            <w:pPr>
              <w:spacing w:after="0" w:before="0"/>
            </w:pPr>
            <w:r/>
            <w:r>
              <w:rPr>
                <w:rFonts w:ascii="Aptos" w:hAnsi="Aptos"/>
                <w:b w:val="0"/>
                <w:sz w:val="13"/>
              </w:rPr>
              <w:t>Alternative menu — Le menu contextuel doit proposer Renommer quand l’action est autorisée.</w:t>
            </w:r>
          </w:p>
        </w:tc>
        <w:tc>
          <w:tcPr>
            <w:tcW w:type="dxa" w:w="4082"/>
            <w:vAlign w:val="top"/>
            <w:tcMar>
              <w:top w:w="60" w:type="dxa"/>
              <w:start w:w="60" w:type="dxa"/>
              <w:bottom w:w="60" w:type="dxa"/>
              <w:end w:w="60" w:type="dxa"/>
            </w:tcMar>
          </w:tcPr>
          <w:p>
            <w:pPr>
              <w:spacing w:after="0" w:before="0"/>
            </w:pPr>
            <w:r/>
            <w:r>
              <w:rPr>
                <w:rFonts w:ascii="Aptos" w:hAnsi="Aptos"/>
                <w:b w:val="0"/>
                <w:sz w:val="13"/>
              </w:rPr>
              <w:t>Action issue du registre canonique, pas d’implémentation parallèle.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§19/21/22</w:t>
            </w:r>
          </w:p>
        </w:tc>
        <w:tc>
          <w:tcPr>
            <w:tcW w:type="dxa" w:w="1474"/>
            <w:vAlign w:val="top"/>
            <w:tcMar>
              <w:top w:w="60" w:type="dxa"/>
              <w:start w:w="60" w:type="dxa"/>
              <w:bottom w:w="60" w:type="dxa"/>
              <w:end w:w="60" w:type="dxa"/>
            </w:tcMar>
            <w:shd w:fill="E7E6E6"/>
          </w:tcPr>
          <w:p>
            <w:pPr>
              <w:spacing w:after="0" w:before="0"/>
            </w:pPr>
            <w:r/>
            <w:r>
              <w:rPr>
                <w:rFonts w:ascii="Aptos" w:hAnsi="Aptos"/>
                <w:b/>
                <w:sz w:val="13"/>
              </w:rPr>
              <w:t>NON DÉMONTRÉ</w:t>
            </w:r>
          </w:p>
        </w:tc>
        <w:tc>
          <w:tcPr>
            <w:tcW w:type="dxa" w:w="2948"/>
            <w:vAlign w:val="top"/>
            <w:tcMar>
              <w:top w:w="60" w:type="dxa"/>
              <w:start w:w="60" w:type="dxa"/>
              <w:bottom w:w="60" w:type="dxa"/>
              <w:end w:w="60" w:type="dxa"/>
            </w:tcMar>
          </w:tcPr>
          <w:p>
            <w:pPr>
              <w:spacing w:after="0" w:before="0"/>
            </w:pPr>
            <w:r/>
            <w:r>
              <w:rPr>
                <w:rFonts w:ascii="Aptos" w:hAnsi="Aptos"/>
                <w:b w:val="0"/>
                <w:sz w:val="13"/>
              </w:rPr>
              <w:t>Menus contextuels existent; action rename spécifique non auditée.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REQ-UXN-008</w:t>
            </w:r>
          </w:p>
        </w:tc>
        <w:tc>
          <w:tcPr>
            <w:tcW w:type="dxa" w:w="4535"/>
            <w:vAlign w:val="top"/>
            <w:tcMar>
              <w:top w:w="60" w:type="dxa"/>
              <w:start w:w="60" w:type="dxa"/>
              <w:bottom w:w="60" w:type="dxa"/>
              <w:end w:w="60" w:type="dxa"/>
            </w:tcMar>
          </w:tcPr>
          <w:p>
            <w:pPr>
              <w:spacing w:after="0" w:before="0"/>
            </w:pPr>
            <w:r/>
            <w:r>
              <w:rPr>
                <w:rFonts w:ascii="Aptos" w:hAnsi="Aptos"/>
                <w:b w:val="0"/>
                <w:sz w:val="13"/>
              </w:rPr>
              <w:t>Rôles cumulatifs — Le calcul d’accès d’un membre doit agréger tous ses rôles Discord.</w:t>
            </w:r>
          </w:p>
        </w:tc>
        <w:tc>
          <w:tcPr>
            <w:tcW w:type="dxa" w:w="4082"/>
            <w:vAlign w:val="top"/>
            <w:tcMar>
              <w:top w:w="60" w:type="dxa"/>
              <w:start w:w="60" w:type="dxa"/>
              <w:bottom w:w="60" w:type="dxa"/>
              <w:end w:w="60" w:type="dxa"/>
            </w:tcMar>
          </w:tcPr>
          <w:p>
            <w:pPr>
              <w:spacing w:after="0" w:before="0"/>
            </w:pPr>
            <w:r/>
            <w:r>
              <w:rPr>
                <w:rFonts w:ascii="Aptos" w:hAnsi="Aptos"/>
                <w:b w:val="0"/>
                <w:sz w:val="13"/>
              </w:rPr>
              <w:t>OR des permissions de base; overwrites de rôles agrégés selon l’ordre Discord.</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§19/21/22</w:t>
            </w:r>
          </w:p>
        </w:tc>
        <w:tc>
          <w:tcPr>
            <w:tcW w:type="dxa" w:w="1474"/>
            <w:vAlign w:val="top"/>
            <w:tcMar>
              <w:top w:w="60" w:type="dxa"/>
              <w:start w:w="60" w:type="dxa"/>
              <w:bottom w:w="60" w:type="dxa"/>
              <w:end w:w="60" w:type="dxa"/>
            </w:tcMar>
            <w:shd w:fill="E2F0D9"/>
          </w:tcPr>
          <w:p>
            <w:pPr>
              <w:spacing w:after="0" w:before="0"/>
            </w:pPr>
            <w:r/>
            <w:r>
              <w:rPr>
                <w:rFonts w:ascii="Aptos" w:hAnsi="Aptos"/>
                <w:b/>
                <w:sz w:val="13"/>
              </w:rPr>
              <w:t>CONFORME</w:t>
            </w:r>
          </w:p>
        </w:tc>
        <w:tc>
          <w:tcPr>
            <w:tcW w:type="dxa" w:w="2948"/>
            <w:vAlign w:val="top"/>
            <w:tcMar>
              <w:top w:w="60" w:type="dxa"/>
              <w:start w:w="60" w:type="dxa"/>
              <w:bottom w:w="60" w:type="dxa"/>
              <w:end w:w="60" w:type="dxa"/>
            </w:tcMar>
          </w:tcPr>
          <w:p>
            <w:pPr>
              <w:spacing w:after="0" w:before="0"/>
            </w:pPr>
            <w:r/>
            <w:r>
              <w:rPr>
                <w:rFonts w:ascii="Aptos" w:hAnsi="Aptos"/>
                <w:b w:val="0"/>
                <w:sz w:val="13"/>
              </w:rPr>
              <w:t>permissions/calculator.py inspecté: BASE_ROLES_OR + rôle denies/allows agrégés.</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REQ-UXN-009</w:t>
            </w:r>
          </w:p>
        </w:tc>
        <w:tc>
          <w:tcPr>
            <w:tcW w:type="dxa" w:w="4535"/>
            <w:vAlign w:val="top"/>
            <w:tcMar>
              <w:top w:w="60" w:type="dxa"/>
              <w:start w:w="60" w:type="dxa"/>
              <w:bottom w:w="60" w:type="dxa"/>
              <w:end w:w="60" w:type="dxa"/>
            </w:tcMar>
          </w:tcPr>
          <w:p>
            <w:pPr>
              <w:spacing w:after="0" w:before="0"/>
            </w:pPr>
            <w:r/>
            <w:r>
              <w:rPr>
                <w:rFonts w:ascii="Aptos" w:hAnsi="Aptos"/>
                <w:b w:val="0"/>
                <w:sz w:val="13"/>
              </w:rPr>
              <w:t>Pas de profil mono-rôle — Aucune UI métier ne doit présenter un membre comme appartenant à un seul rôle exclusif si Discord en autorise plusieurs.</w:t>
            </w:r>
          </w:p>
        </w:tc>
        <w:tc>
          <w:tcPr>
            <w:tcW w:type="dxa" w:w="4082"/>
            <w:vAlign w:val="top"/>
            <w:tcMar>
              <w:top w:w="60" w:type="dxa"/>
              <w:start w:w="60" w:type="dxa"/>
              <w:bottom w:w="60" w:type="dxa"/>
              <w:end w:w="60" w:type="dxa"/>
            </w:tcMar>
          </w:tcPr>
          <w:p>
            <w:pPr>
              <w:spacing w:after="0" w:before="0"/>
            </w:pPr>
            <w:r/>
            <w:r>
              <w:rPr>
                <w:rFonts w:ascii="Aptos" w:hAnsi="Aptos"/>
                <w:b w:val="0"/>
                <w:sz w:val="13"/>
              </w:rPr>
              <w:t>Les sélecteurs/analyses montrent un ensemble de rôles.</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§19/21/22</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Moteur multi-rôles conforme; audit de toutes les UIs non réalisé.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REQ-UXN-010</w:t>
            </w:r>
          </w:p>
        </w:tc>
        <w:tc>
          <w:tcPr>
            <w:tcW w:type="dxa" w:w="4535"/>
            <w:vAlign w:val="top"/>
            <w:tcMar>
              <w:top w:w="60" w:type="dxa"/>
              <w:start w:w="60" w:type="dxa"/>
              <w:bottom w:w="60" w:type="dxa"/>
              <w:end w:w="60" w:type="dxa"/>
            </w:tcMar>
          </w:tcPr>
          <w:p>
            <w:pPr>
              <w:spacing w:after="0" w:before="0"/>
            </w:pPr>
            <w:r/>
            <w:r>
              <w:rPr>
                <w:rFonts w:ascii="Aptos" w:hAnsi="Aptos"/>
                <w:b w:val="0"/>
                <w:sz w:val="13"/>
              </w:rPr>
              <w:t>Règle ANY — Les conditions multi-rôles doivent pouvoir exprimer “au moins un de ces rôles”.</w:t>
            </w:r>
          </w:p>
        </w:tc>
        <w:tc>
          <w:tcPr>
            <w:tcW w:type="dxa" w:w="4082"/>
            <w:vAlign w:val="top"/>
            <w:tcMar>
              <w:top w:w="60" w:type="dxa"/>
              <w:start w:w="60" w:type="dxa"/>
              <w:bottom w:w="60" w:type="dxa"/>
              <w:end w:w="60" w:type="dxa"/>
            </w:tcMar>
          </w:tcPr>
          <w:p>
            <w:pPr>
              <w:spacing w:after="0" w:before="0"/>
            </w:pPr>
            <w:r/>
            <w:r>
              <w:rPr>
                <w:rFonts w:ascii="Aptos" w:hAnsi="Aptos"/>
                <w:b w:val="0"/>
                <w:sz w:val="13"/>
              </w:rPr>
              <w:t>Résultat testé avec zéro, un et plusieurs rôles correspondants.</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§19/21/22</w:t>
            </w:r>
          </w:p>
        </w:tc>
        <w:tc>
          <w:tcPr>
            <w:tcW w:type="dxa" w:w="1474"/>
            <w:vAlign w:val="top"/>
            <w:tcMar>
              <w:top w:w="60" w:type="dxa"/>
              <w:start w:w="60" w:type="dxa"/>
              <w:bottom w:w="60" w:type="dxa"/>
              <w:end w:w="60" w:type="dxa"/>
            </w:tcMar>
            <w:shd w:fill="E7E6E6"/>
          </w:tcPr>
          <w:p>
            <w:pPr>
              <w:spacing w:after="0" w:before="0"/>
            </w:pPr>
            <w:r/>
            <w:r>
              <w:rPr>
                <w:rFonts w:ascii="Aptos" w:hAnsi="Aptos"/>
                <w:b/>
                <w:sz w:val="13"/>
              </w:rPr>
              <w:t>NON DÉMONTRÉ</w:t>
            </w:r>
          </w:p>
        </w:tc>
        <w:tc>
          <w:tcPr>
            <w:tcW w:type="dxa" w:w="2948"/>
            <w:vAlign w:val="top"/>
            <w:tcMar>
              <w:top w:w="60" w:type="dxa"/>
              <w:start w:w="60" w:type="dxa"/>
              <w:bottom w:w="60" w:type="dxa"/>
              <w:end w:w="60" w:type="dxa"/>
            </w:tcMar>
          </w:tcPr>
          <w:p>
            <w:pPr>
              <w:spacing w:after="0" w:before="0"/>
            </w:pPr>
            <w:r/>
            <w:r>
              <w:rPr>
                <w:rFonts w:ascii="Aptos" w:hAnsi="Aptos"/>
                <w:b w:val="0"/>
                <w:sz w:val="13"/>
              </w:rPr>
              <w:t>Pas de moteur de règles générique démontré.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REQ-UXN-011</w:t>
            </w:r>
          </w:p>
        </w:tc>
        <w:tc>
          <w:tcPr>
            <w:tcW w:type="dxa" w:w="4535"/>
            <w:vAlign w:val="top"/>
            <w:tcMar>
              <w:top w:w="60" w:type="dxa"/>
              <w:start w:w="60" w:type="dxa"/>
              <w:bottom w:w="60" w:type="dxa"/>
              <w:end w:w="60" w:type="dxa"/>
            </w:tcMar>
          </w:tcPr>
          <w:p>
            <w:pPr>
              <w:spacing w:after="0" w:before="0"/>
            </w:pPr>
            <w:r/>
            <w:r>
              <w:rPr>
                <w:rFonts w:ascii="Aptos" w:hAnsi="Aptos"/>
                <w:b w:val="0"/>
                <w:sz w:val="13"/>
              </w:rPr>
              <w:t>Règle ALL — Les conditions multi-rôles doivent pouvoir exprimer “tous ces rôles”.</w:t>
            </w:r>
          </w:p>
        </w:tc>
        <w:tc>
          <w:tcPr>
            <w:tcW w:type="dxa" w:w="4082"/>
            <w:vAlign w:val="top"/>
            <w:tcMar>
              <w:top w:w="60" w:type="dxa"/>
              <w:start w:w="60" w:type="dxa"/>
              <w:bottom w:w="60" w:type="dxa"/>
              <w:end w:w="60" w:type="dxa"/>
            </w:tcMar>
          </w:tcPr>
          <w:p>
            <w:pPr>
              <w:spacing w:after="0" w:before="0"/>
            </w:pPr>
            <w:r/>
            <w:r>
              <w:rPr>
                <w:rFonts w:ascii="Aptos" w:hAnsi="Aptos"/>
                <w:b w:val="0"/>
                <w:sz w:val="13"/>
              </w:rPr>
              <w:t>Résultat testé avec ensembles incomplets/complets.</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§19/21/22</w:t>
            </w:r>
          </w:p>
        </w:tc>
        <w:tc>
          <w:tcPr>
            <w:tcW w:type="dxa" w:w="1474"/>
            <w:vAlign w:val="top"/>
            <w:tcMar>
              <w:top w:w="60" w:type="dxa"/>
              <w:start w:w="60" w:type="dxa"/>
              <w:bottom w:w="60" w:type="dxa"/>
              <w:end w:w="60" w:type="dxa"/>
            </w:tcMar>
            <w:shd w:fill="E7E6E6"/>
          </w:tcPr>
          <w:p>
            <w:pPr>
              <w:spacing w:after="0" w:before="0"/>
            </w:pPr>
            <w:r/>
            <w:r>
              <w:rPr>
                <w:rFonts w:ascii="Aptos" w:hAnsi="Aptos"/>
                <w:b/>
                <w:sz w:val="13"/>
              </w:rPr>
              <w:t>NON DÉMONTRÉ</w:t>
            </w:r>
          </w:p>
        </w:tc>
        <w:tc>
          <w:tcPr>
            <w:tcW w:type="dxa" w:w="2948"/>
            <w:vAlign w:val="top"/>
            <w:tcMar>
              <w:top w:w="60" w:type="dxa"/>
              <w:start w:w="60" w:type="dxa"/>
              <w:bottom w:w="60" w:type="dxa"/>
              <w:end w:w="60" w:type="dxa"/>
            </w:tcMar>
          </w:tcPr>
          <w:p>
            <w:pPr>
              <w:spacing w:after="0" w:before="0"/>
            </w:pPr>
            <w:r/>
            <w:r>
              <w:rPr>
                <w:rFonts w:ascii="Aptos" w:hAnsi="Aptos"/>
                <w:b w:val="0"/>
                <w:sz w:val="13"/>
              </w:rPr>
              <w:t>Pas de moteur de règles générique démontré.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REQ-UXN-012</w:t>
            </w:r>
          </w:p>
        </w:tc>
        <w:tc>
          <w:tcPr>
            <w:tcW w:type="dxa" w:w="4535"/>
            <w:vAlign w:val="top"/>
            <w:tcMar>
              <w:top w:w="60" w:type="dxa"/>
              <w:start w:w="60" w:type="dxa"/>
              <w:bottom w:w="60" w:type="dxa"/>
              <w:end w:w="60" w:type="dxa"/>
            </w:tcMar>
          </w:tcPr>
          <w:p>
            <w:pPr>
              <w:spacing w:after="0" w:before="0"/>
            </w:pPr>
            <w:r/>
            <w:r>
              <w:rPr>
                <w:rFonts w:ascii="Aptos" w:hAnsi="Aptos"/>
                <w:b w:val="0"/>
                <w:sz w:val="13"/>
              </w:rPr>
              <w:t>Unicode noms — Les noms de catégories/salons proposés doivent supporter Unicode/emoji autorisé par Discord.</w:t>
            </w:r>
          </w:p>
        </w:tc>
        <w:tc>
          <w:tcPr>
            <w:tcW w:type="dxa" w:w="4082"/>
            <w:vAlign w:val="top"/>
            <w:tcMar>
              <w:top w:w="60" w:type="dxa"/>
              <w:start w:w="60" w:type="dxa"/>
              <w:bottom w:w="60" w:type="dxa"/>
              <w:end w:w="60" w:type="dxa"/>
            </w:tcMar>
          </w:tcPr>
          <w:p>
            <w:pPr>
              <w:spacing w:after="0" w:before="0"/>
            </w:pPr>
            <w:r/>
            <w:r>
              <w:rPr>
                <w:rFonts w:ascii="Aptos" w:hAnsi="Aptos"/>
                <w:b w:val="0"/>
                <w:sz w:val="13"/>
              </w:rPr>
              <w:t>Round-trip API/DB/UI sans corruption.</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§19/21/22</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Pile UI i18n/Unicode existe; workflow de nommage dédié non démontré.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REQ-UXN-013</w:t>
            </w:r>
          </w:p>
        </w:tc>
        <w:tc>
          <w:tcPr>
            <w:tcW w:type="dxa" w:w="4535"/>
            <w:vAlign w:val="top"/>
            <w:tcMar>
              <w:top w:w="60" w:type="dxa"/>
              <w:start w:w="60" w:type="dxa"/>
              <w:bottom w:w="60" w:type="dxa"/>
              <w:end w:w="60" w:type="dxa"/>
            </w:tcMar>
          </w:tcPr>
          <w:p>
            <w:pPr>
              <w:spacing w:after="0" w:before="0"/>
            </w:pPr>
            <w:r/>
            <w:r>
              <w:rPr>
                <w:rFonts w:ascii="Aptos" w:hAnsi="Aptos"/>
                <w:b w:val="0"/>
                <w:sz w:val="13"/>
              </w:rPr>
              <w:t>Emoji picker — Les champs de nom pertinents doivent proposer un sélecteur d’emoji réutilisable.</w:t>
            </w:r>
          </w:p>
        </w:tc>
        <w:tc>
          <w:tcPr>
            <w:tcW w:type="dxa" w:w="4082"/>
            <w:vAlign w:val="top"/>
            <w:tcMar>
              <w:top w:w="60" w:type="dxa"/>
              <w:start w:w="60" w:type="dxa"/>
              <w:bottom w:w="60" w:type="dxa"/>
              <w:end w:w="60" w:type="dxa"/>
            </w:tcMar>
          </w:tcPr>
          <w:p>
            <w:pPr>
              <w:spacing w:after="0" w:before="0"/>
            </w:pPr>
            <w:r/>
            <w:r>
              <w:rPr>
                <w:rFonts w:ascii="Aptos" w:hAnsi="Aptos"/>
                <w:b w:val="0"/>
                <w:sz w:val="13"/>
              </w:rPr>
              <w:t>Clavier/souris, recherche et insertion au curseur.</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§19/21/22</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Aucun emoji picker dédié identifié dans l’inventaire.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REQ-UXN-014</w:t>
            </w:r>
          </w:p>
        </w:tc>
        <w:tc>
          <w:tcPr>
            <w:tcW w:type="dxa" w:w="4535"/>
            <w:vAlign w:val="top"/>
            <w:tcMar>
              <w:top w:w="60" w:type="dxa"/>
              <w:start w:w="60" w:type="dxa"/>
              <w:bottom w:w="60" w:type="dxa"/>
              <w:end w:w="60" w:type="dxa"/>
            </w:tcMar>
          </w:tcPr>
          <w:p>
            <w:pPr>
              <w:spacing w:after="0" w:before="0"/>
            </w:pPr>
            <w:r/>
            <w:r>
              <w:rPr>
                <w:rFonts w:ascii="Aptos" w:hAnsi="Aptos"/>
                <w:b w:val="0"/>
                <w:sz w:val="13"/>
              </w:rPr>
              <w:t>Noms stylés — Le produit doit proposer des styles de noms sobres optionnels (emoji, séparateurs, symboles).</w:t>
            </w:r>
          </w:p>
        </w:tc>
        <w:tc>
          <w:tcPr>
            <w:tcW w:type="dxa" w:w="4082"/>
            <w:vAlign w:val="top"/>
            <w:tcMar>
              <w:top w:w="60" w:type="dxa"/>
              <w:start w:w="60" w:type="dxa"/>
              <w:bottom w:w="60" w:type="dxa"/>
              <w:end w:w="60" w:type="dxa"/>
            </w:tcMar>
          </w:tcPr>
          <w:p>
            <w:pPr>
              <w:spacing w:after="0" w:before="0"/>
            </w:pPr>
            <w:r/>
            <w:r>
              <w:rPr>
                <w:rFonts w:ascii="Aptos" w:hAnsi="Aptos"/>
                <w:b w:val="0"/>
                <w:sz w:val="13"/>
              </w:rPr>
              <w:t>Suggestions non destructives, aperçu et validation des limites Discord.</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§19/21/22</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Aucun générateur/preset de naming identifié.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REQ-UXN-015</w:t>
            </w:r>
          </w:p>
        </w:tc>
        <w:tc>
          <w:tcPr>
            <w:tcW w:type="dxa" w:w="4535"/>
            <w:vAlign w:val="top"/>
            <w:tcMar>
              <w:top w:w="60" w:type="dxa"/>
              <w:start w:w="60" w:type="dxa"/>
              <w:bottom w:w="60" w:type="dxa"/>
              <w:end w:w="60" w:type="dxa"/>
            </w:tcMar>
          </w:tcPr>
          <w:p>
            <w:pPr>
              <w:spacing w:after="0" w:before="0"/>
            </w:pPr>
            <w:r/>
            <w:r>
              <w:rPr>
                <w:rFonts w:ascii="Aptos" w:hAnsi="Aptos"/>
                <w:b w:val="0"/>
                <w:sz w:val="13"/>
              </w:rPr>
              <w:t>Validation Discord — Toute suggestion de nom doit respecter les contraintes Discord applicables au type de ressource.</w:t>
            </w:r>
          </w:p>
        </w:tc>
        <w:tc>
          <w:tcPr>
            <w:tcW w:type="dxa" w:w="4082"/>
            <w:vAlign w:val="top"/>
            <w:tcMar>
              <w:top w:w="60" w:type="dxa"/>
              <w:start w:w="60" w:type="dxa"/>
              <w:bottom w:w="60" w:type="dxa"/>
              <w:end w:w="60" w:type="dxa"/>
            </w:tcMar>
          </w:tcPr>
          <w:p>
            <w:pPr>
              <w:spacing w:after="0" w:before="0"/>
            </w:pPr>
            <w:r/>
            <w:r>
              <w:rPr>
                <w:rFonts w:ascii="Aptos" w:hAnsi="Aptos"/>
                <w:b w:val="0"/>
                <w:sz w:val="13"/>
              </w:rPr>
              <w:t>Nom invalide bloqué avant plan.</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§19/21/22</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Validation structurelle existe globalement; suggestions de naming non implémentées.</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REQ-UXN-016</w:t>
            </w:r>
          </w:p>
        </w:tc>
        <w:tc>
          <w:tcPr>
            <w:tcW w:type="dxa" w:w="4535"/>
            <w:vAlign w:val="top"/>
            <w:tcMar>
              <w:top w:w="60" w:type="dxa"/>
              <w:start w:w="60" w:type="dxa"/>
              <w:bottom w:w="60" w:type="dxa"/>
              <w:end w:w="60" w:type="dxa"/>
            </w:tcMar>
          </w:tcPr>
          <w:p>
            <w:pPr>
              <w:spacing w:after="0" w:before="0"/>
            </w:pPr>
            <w:r/>
            <w:r>
              <w:rPr>
                <w:rFonts w:ascii="Aptos" w:hAnsi="Aptos"/>
                <w:b w:val="0"/>
                <w:sz w:val="13"/>
              </w:rPr>
              <w:t>Acronyme produit — L’acronyme interne DID ne doit pas être imposé sans explication dans l’UI utilisateur.</w:t>
            </w:r>
          </w:p>
        </w:tc>
        <w:tc>
          <w:tcPr>
            <w:tcW w:type="dxa" w:w="4082"/>
            <w:vAlign w:val="top"/>
            <w:tcMar>
              <w:top w:w="60" w:type="dxa"/>
              <w:start w:w="60" w:type="dxa"/>
              <w:bottom w:w="60" w:type="dxa"/>
              <w:end w:w="60" w:type="dxa"/>
            </w:tcMar>
          </w:tcPr>
          <w:p>
            <w:pPr>
              <w:spacing w:after="0" w:before="0"/>
            </w:pPr>
            <w:r/>
            <w:r>
              <w:rPr>
                <w:rFonts w:ascii="Aptos" w:hAnsi="Aptos"/>
                <w:b w:val="0"/>
                <w:sz w:val="13"/>
              </w:rPr>
              <w:t>Première occurrence = nom complet ou libellé métier; jargon interne masqué.</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§19/21/22</w:t>
            </w:r>
          </w:p>
        </w:tc>
        <w:tc>
          <w:tcPr>
            <w:tcW w:type="dxa" w:w="1474"/>
            <w:vAlign w:val="top"/>
            <w:tcMar>
              <w:top w:w="60" w:type="dxa"/>
              <w:start w:w="60" w:type="dxa"/>
              <w:bottom w:w="60" w:type="dxa"/>
              <w:end w:w="60" w:type="dxa"/>
            </w:tcMar>
            <w:shd w:fill="E7E6E6"/>
          </w:tcPr>
          <w:p>
            <w:pPr>
              <w:spacing w:after="0" w:before="0"/>
            </w:pPr>
            <w:r/>
            <w:r>
              <w:rPr>
                <w:rFonts w:ascii="Aptos" w:hAnsi="Aptos"/>
                <w:b/>
                <w:sz w:val="13"/>
              </w:rPr>
              <w:t>NON DÉMONTRÉ</w:t>
            </w:r>
          </w:p>
        </w:tc>
        <w:tc>
          <w:tcPr>
            <w:tcW w:type="dxa" w:w="2948"/>
            <w:vAlign w:val="top"/>
            <w:tcMar>
              <w:top w:w="60" w:type="dxa"/>
              <w:start w:w="60" w:type="dxa"/>
              <w:bottom w:w="60" w:type="dxa"/>
              <w:end w:w="60" w:type="dxa"/>
            </w:tcMar>
          </w:tcPr>
          <w:p>
            <w:pPr>
              <w:spacing w:after="0" w:before="0"/>
            </w:pPr>
            <w:r/>
            <w:r>
              <w:rPr>
                <w:rFonts w:ascii="Aptos" w:hAnsi="Aptos"/>
                <w:b w:val="0"/>
                <w:sz w:val="13"/>
              </w:rPr>
              <w:t>Le code utilise did comme package; usage visible global non audité exhaustivement.</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REQ-UXN-017</w:t>
            </w:r>
          </w:p>
        </w:tc>
        <w:tc>
          <w:tcPr>
            <w:tcW w:type="dxa" w:w="4535"/>
            <w:vAlign w:val="top"/>
            <w:tcMar>
              <w:top w:w="60" w:type="dxa"/>
              <w:start w:w="60" w:type="dxa"/>
              <w:bottom w:w="60" w:type="dxa"/>
              <w:end w:w="60" w:type="dxa"/>
            </w:tcMar>
          </w:tcPr>
          <w:p>
            <w:pPr>
              <w:spacing w:after="0" w:before="0"/>
            </w:pPr>
            <w:r/>
            <w:r>
              <w:rPr>
                <w:rFonts w:ascii="Aptos" w:hAnsi="Aptos"/>
                <w:b w:val="0"/>
                <w:sz w:val="13"/>
              </w:rPr>
              <w:t>Aide contextuelle — Les décisions complexes doivent offrir une aide contextuelle proche du contrôle.</w:t>
            </w:r>
          </w:p>
        </w:tc>
        <w:tc>
          <w:tcPr>
            <w:tcW w:type="dxa" w:w="4082"/>
            <w:vAlign w:val="top"/>
            <w:tcMar>
              <w:top w:w="60" w:type="dxa"/>
              <w:start w:w="60" w:type="dxa"/>
              <w:bottom w:w="60" w:type="dxa"/>
              <w:end w:w="60" w:type="dxa"/>
            </w:tcMar>
          </w:tcPr>
          <w:p>
            <w:pPr>
              <w:spacing w:after="0" w:before="0"/>
            </w:pPr>
            <w:r/>
            <w:r>
              <w:rPr>
                <w:rFonts w:ascii="Aptos" w:hAnsi="Aptos"/>
                <w:b w:val="0"/>
                <w:sz w:val="13"/>
              </w:rPr>
              <w:t>Tooltip/explication localisée sans obliger à consulter la documentation externe.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§19/21/22</w:t>
            </w:r>
          </w:p>
        </w:tc>
        <w:tc>
          <w:tcPr>
            <w:tcW w:type="dxa" w:w="1474"/>
            <w:vAlign w:val="top"/>
            <w:tcMar>
              <w:top w:w="60" w:type="dxa"/>
              <w:start w:w="60" w:type="dxa"/>
              <w:bottom w:w="60" w:type="dxa"/>
              <w:end w:w="60" w:type="dxa"/>
            </w:tcMar>
            <w:shd w:fill="E7E6E6"/>
          </w:tcPr>
          <w:p>
            <w:pPr>
              <w:spacing w:after="0" w:before="0"/>
            </w:pPr>
            <w:r/>
            <w:r>
              <w:rPr>
                <w:rFonts w:ascii="Aptos" w:hAnsi="Aptos"/>
                <w:b/>
                <w:sz w:val="13"/>
              </w:rPr>
              <w:t>NON DÉMONTRÉ</w:t>
            </w:r>
          </w:p>
        </w:tc>
        <w:tc>
          <w:tcPr>
            <w:tcW w:type="dxa" w:w="2948"/>
            <w:vAlign w:val="top"/>
            <w:tcMar>
              <w:top w:w="60" w:type="dxa"/>
              <w:start w:w="60" w:type="dxa"/>
              <w:bottom w:w="60" w:type="dxa"/>
              <w:end w:w="60" w:type="dxa"/>
            </w:tcMar>
          </w:tcPr>
          <w:p>
            <w:pPr>
              <w:spacing w:after="0" w:before="0"/>
            </w:pPr>
            <w:r/>
            <w:r>
              <w:rPr>
                <w:rFonts w:ascii="Aptos" w:hAnsi="Aptos"/>
                <w:b w:val="0"/>
                <w:sz w:val="13"/>
              </w:rPr>
              <w:t>Tooltips existent dans le socle i18n, couverture métier non auditée.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REQ-UXN-018</w:t>
            </w:r>
          </w:p>
        </w:tc>
        <w:tc>
          <w:tcPr>
            <w:tcW w:type="dxa" w:w="4535"/>
            <w:vAlign w:val="top"/>
            <w:tcMar>
              <w:top w:w="60" w:type="dxa"/>
              <w:start w:w="60" w:type="dxa"/>
              <w:bottom w:w="60" w:type="dxa"/>
              <w:end w:w="60" w:type="dxa"/>
            </w:tcMar>
          </w:tcPr>
          <w:p>
            <w:pPr>
              <w:spacing w:after="0" w:before="0"/>
            </w:pPr>
            <w:r/>
            <w:r>
              <w:rPr>
                <w:rFonts w:ascii="Aptos" w:hAnsi="Aptos"/>
                <w:b w:val="0"/>
                <w:sz w:val="13"/>
              </w:rPr>
              <w:t>Progressive disclosure — Le mode simple doit être par défaut et le mode expert révéler les détails natifs sans supprimer de puissance.</w:t>
            </w:r>
          </w:p>
        </w:tc>
        <w:tc>
          <w:tcPr>
            <w:tcW w:type="dxa" w:w="4082"/>
            <w:vAlign w:val="top"/>
            <w:tcMar>
              <w:top w:w="60" w:type="dxa"/>
              <w:start w:w="60" w:type="dxa"/>
              <w:bottom w:w="60" w:type="dxa"/>
              <w:end w:w="60" w:type="dxa"/>
            </w:tcMar>
          </w:tcPr>
          <w:p>
            <w:pPr>
              <w:spacing w:after="0" w:before="0"/>
            </w:pPr>
            <w:r/>
            <w:r>
              <w:rPr>
                <w:rFonts w:ascii="Aptos" w:hAnsi="Aptos"/>
                <w:b w:val="0"/>
                <w:sz w:val="13"/>
              </w:rPr>
              <w:t>Même décision de fond, deux niveaux de présentation.</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§19/21/22</w:t>
            </w:r>
          </w:p>
        </w:tc>
        <w:tc>
          <w:tcPr>
            <w:tcW w:type="dxa" w:w="1474"/>
            <w:vAlign w:val="top"/>
            <w:tcMar>
              <w:top w:w="60" w:type="dxa"/>
              <w:start w:w="60" w:type="dxa"/>
              <w:bottom w:w="60" w:type="dxa"/>
              <w:end w:w="60" w:type="dxa"/>
            </w:tcMar>
            <w:shd w:fill="E2F0D9"/>
          </w:tcPr>
          <w:p>
            <w:pPr>
              <w:spacing w:after="0" w:before="0"/>
            </w:pPr>
            <w:r/>
            <w:r>
              <w:rPr>
                <w:rFonts w:ascii="Aptos" w:hAnsi="Aptos"/>
                <w:b/>
                <w:sz w:val="13"/>
              </w:rPr>
              <w:t>CONFORME</w:t>
            </w:r>
          </w:p>
        </w:tc>
        <w:tc>
          <w:tcPr>
            <w:tcW w:type="dxa" w:w="2948"/>
            <w:vAlign w:val="top"/>
            <w:tcMar>
              <w:top w:w="60" w:type="dxa"/>
              <w:start w:w="60" w:type="dxa"/>
              <w:bottom w:w="60" w:type="dxa"/>
              <w:end w:w="60" w:type="dxa"/>
            </w:tcMar>
          </w:tcPr>
          <w:p>
            <w:pPr>
              <w:spacing w:after="0" w:before="0"/>
            </w:pPr>
            <w:r/>
            <w:r>
              <w:rPr>
                <w:rFonts w:ascii="Aptos" w:hAnsi="Aptos"/>
                <w:b w:val="0"/>
                <w:sz w:val="13"/>
              </w:rPr>
              <w:t>permissions/views.py expose SimplePermissionConcept et ExpertPermissionModel sur le même moteur.</w:t>
            </w:r>
          </w:p>
        </w:tc>
      </w:tr>
    </w:tbl>
    <w:p/>
    <w:p>
      <w:pPr>
        <w:pStyle w:val="Heading2"/>
      </w:pPr>
      <w:r>
        <w:t>5.4 Opérations persistantes et brouillons</w:t>
      </w:r>
    </w:p>
    <w:tbl>
      <w:tblPr>
        <w:tblW w:type="auto" w:w="0"/>
        <w:jc w:val="center"/>
        <w:tblLayout w:type="fixed"/>
        <w:tblLook w:firstColumn="1" w:firstRow="1" w:lastColumn="0" w:lastRow="0" w:noHBand="0" w:noVBand="1" w:val="04A0"/>
      </w:tblPr>
      <w:tblGrid>
        <w:gridCol w:w="1247"/>
        <w:gridCol w:w="4535"/>
        <w:gridCol w:w="4082"/>
        <w:gridCol w:w="1701"/>
        <w:gridCol w:w="1474"/>
        <w:gridCol w:w="2948"/>
      </w:tblGrid>
      <w:tr>
        <w:trPr>
          <w:tblHeader w:val="true"/>
          <w:cantSplit/>
        </w:trPr>
        <w:tc>
          <w:tcPr>
            <w:tcW w:type="dxa" w:w="2580"/>
            <w:vAlign w:val="top"/>
            <w:tcMar>
              <w:top w:w="60" w:type="dxa"/>
              <w:start w:w="60" w:type="dxa"/>
              <w:bottom w:w="60" w:type="dxa"/>
              <w:end w:w="60" w:type="dxa"/>
            </w:tcMar>
            <w:shd w:fill="D9EAF7"/>
          </w:tcPr>
          <w:p>
            <w:pPr>
              <w:spacing w:after="0" w:before="0"/>
            </w:pPr>
            <w:r/>
            <w:r>
              <w:rPr>
                <w:rFonts w:ascii="Aptos" w:hAnsi="Aptos"/>
                <w:b/>
                <w:sz w:val="14"/>
              </w:rPr>
              <w:t>ID</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Exigence atomique</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Critère d’acceptation</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Source</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Statut</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Preuve / écart</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REQ-OPS-001</w:t>
            </w:r>
          </w:p>
        </w:tc>
        <w:tc>
          <w:tcPr>
            <w:tcW w:type="dxa" w:w="4535"/>
            <w:vAlign w:val="top"/>
            <w:tcMar>
              <w:top w:w="60" w:type="dxa"/>
              <w:start w:w="60" w:type="dxa"/>
              <w:bottom w:w="60" w:type="dxa"/>
              <w:end w:w="60" w:type="dxa"/>
            </w:tcMar>
          </w:tcPr>
          <w:p>
            <w:pPr>
              <w:spacing w:after="0" w:before="0"/>
            </w:pPr>
            <w:r/>
            <w:r>
              <w:rPr>
                <w:rFonts w:ascii="Aptos" w:hAnsi="Aptos"/>
                <w:b w:val="0"/>
                <w:sz w:val="13"/>
              </w:rPr>
              <w:t>Identité durable opération — Toute opération longue doit avoir un identifiant serveur durable.</w:t>
            </w:r>
          </w:p>
        </w:tc>
        <w:tc>
          <w:tcPr>
            <w:tcW w:type="dxa" w:w="4082"/>
            <w:vAlign w:val="top"/>
            <w:tcMar>
              <w:top w:w="60" w:type="dxa"/>
              <w:start w:w="60" w:type="dxa"/>
              <w:bottom w:w="60" w:type="dxa"/>
              <w:end w:w="60" w:type="dxa"/>
            </w:tcMar>
          </w:tcPr>
          <w:p>
            <w:pPr>
              <w:spacing w:after="0" w:before="0"/>
            </w:pPr>
            <w:r/>
            <w:r>
              <w:rPr>
                <w:rFonts w:ascii="Aptos" w:hAnsi="Aptos"/>
                <w:b w:val="0"/>
                <w:sz w:val="13"/>
              </w:rPr>
              <w:t>L’ID permet de relire l’état après reconnexion.</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§20</w:t>
            </w:r>
          </w:p>
        </w:tc>
        <w:tc>
          <w:tcPr>
            <w:tcW w:type="dxa" w:w="1474"/>
            <w:vAlign w:val="top"/>
            <w:tcMar>
              <w:top w:w="60" w:type="dxa"/>
              <w:start w:w="60" w:type="dxa"/>
              <w:bottom w:w="60" w:type="dxa"/>
              <w:end w:w="60" w:type="dxa"/>
            </w:tcMar>
            <w:shd w:fill="E2F0D9"/>
          </w:tcPr>
          <w:p>
            <w:pPr>
              <w:spacing w:after="0" w:before="0"/>
            </w:pPr>
            <w:r/>
            <w:r>
              <w:rPr>
                <w:rFonts w:ascii="Aptos" w:hAnsi="Aptos"/>
                <w:b/>
                <w:sz w:val="13"/>
              </w:rPr>
              <w:t>CONFORME</w:t>
            </w:r>
          </w:p>
        </w:tc>
        <w:tc>
          <w:tcPr>
            <w:tcW w:type="dxa" w:w="2948"/>
            <w:vAlign w:val="top"/>
            <w:tcMar>
              <w:top w:w="60" w:type="dxa"/>
              <w:start w:w="60" w:type="dxa"/>
              <w:bottom w:w="60" w:type="dxa"/>
              <w:end w:w="60" w:type="dxa"/>
            </w:tcMar>
          </w:tcPr>
          <w:p>
            <w:pPr>
              <w:spacing w:after="0" w:before="0"/>
            </w:pPr>
            <w:r/>
            <w:r>
              <w:rPr>
                <w:rFonts w:ascii="Aptos" w:hAnsi="Aptos"/>
                <w:b w:val="0"/>
                <w:sz w:val="13"/>
              </w:rPr>
              <w:t>Plan/Operation IDs et états persistés existent dans planning models/service.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REQ-OPS-002</w:t>
            </w:r>
          </w:p>
        </w:tc>
        <w:tc>
          <w:tcPr>
            <w:tcW w:type="dxa" w:w="4535"/>
            <w:vAlign w:val="top"/>
            <w:tcMar>
              <w:top w:w="60" w:type="dxa"/>
              <w:start w:w="60" w:type="dxa"/>
              <w:bottom w:w="60" w:type="dxa"/>
              <w:end w:w="60" w:type="dxa"/>
            </w:tcMar>
          </w:tcPr>
          <w:p>
            <w:pPr>
              <w:spacing w:after="0" w:before="0"/>
            </w:pPr>
            <w:r/>
            <w:r>
              <w:rPr>
                <w:rFonts w:ascii="Aptos" w:hAnsi="Aptos"/>
                <w:b w:val="0"/>
                <w:sz w:val="13"/>
              </w:rPr>
              <w:t>État serveur — La vérité d’une opération ne doit pas dépendre de l’onglet navigateur.</w:t>
            </w:r>
          </w:p>
        </w:tc>
        <w:tc>
          <w:tcPr>
            <w:tcW w:type="dxa" w:w="4082"/>
            <w:vAlign w:val="top"/>
            <w:tcMar>
              <w:top w:w="60" w:type="dxa"/>
              <w:start w:w="60" w:type="dxa"/>
              <w:bottom w:w="60" w:type="dxa"/>
              <w:end w:w="60" w:type="dxa"/>
            </w:tcMar>
          </w:tcPr>
          <w:p>
            <w:pPr>
              <w:spacing w:after="0" w:before="0"/>
            </w:pPr>
            <w:r/>
            <w:r>
              <w:rPr>
                <w:rFonts w:ascii="Aptos" w:hAnsi="Aptos"/>
                <w:b w:val="0"/>
                <w:sz w:val="13"/>
              </w:rPr>
              <w:t>Rafraîchir/fermer l’onglet ne perd pas l’état serveur.</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§20</w:t>
            </w:r>
          </w:p>
        </w:tc>
        <w:tc>
          <w:tcPr>
            <w:tcW w:type="dxa" w:w="1474"/>
            <w:vAlign w:val="top"/>
            <w:tcMar>
              <w:top w:w="60" w:type="dxa"/>
              <w:start w:w="60" w:type="dxa"/>
              <w:bottom w:w="60" w:type="dxa"/>
              <w:end w:w="60" w:type="dxa"/>
            </w:tcMar>
            <w:shd w:fill="E2F0D9"/>
          </w:tcPr>
          <w:p>
            <w:pPr>
              <w:spacing w:after="0" w:before="0"/>
            </w:pPr>
            <w:r/>
            <w:r>
              <w:rPr>
                <w:rFonts w:ascii="Aptos" w:hAnsi="Aptos"/>
                <w:b/>
                <w:sz w:val="13"/>
              </w:rPr>
              <w:t>CONFORME</w:t>
            </w:r>
          </w:p>
        </w:tc>
        <w:tc>
          <w:tcPr>
            <w:tcW w:type="dxa" w:w="2948"/>
            <w:vAlign w:val="top"/>
            <w:tcMar>
              <w:top w:w="60" w:type="dxa"/>
              <w:start w:w="60" w:type="dxa"/>
              <w:bottom w:w="60" w:type="dxa"/>
              <w:end w:w="60" w:type="dxa"/>
            </w:tcMar>
          </w:tcPr>
          <w:p>
            <w:pPr>
              <w:spacing w:after="0" w:before="0"/>
            </w:pPr>
            <w:r/>
            <w:r>
              <w:rPr>
                <w:rFonts w:ascii="Aptos" w:hAnsi="Aptos"/>
                <w:b w:val="0"/>
                <w:sz w:val="13"/>
              </w:rPr>
              <w:t>Plans et opérations persistés côté backend.</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REQ-OPS-003</w:t>
            </w:r>
          </w:p>
        </w:tc>
        <w:tc>
          <w:tcPr>
            <w:tcW w:type="dxa" w:w="4535"/>
            <w:vAlign w:val="top"/>
            <w:tcMar>
              <w:top w:w="60" w:type="dxa"/>
              <w:start w:w="60" w:type="dxa"/>
              <w:bottom w:w="60" w:type="dxa"/>
              <w:end w:w="60" w:type="dxa"/>
            </w:tcMar>
          </w:tcPr>
          <w:p>
            <w:pPr>
              <w:spacing w:after="0" w:before="0"/>
            </w:pPr>
            <w:r/>
            <w:r>
              <w:rPr>
                <w:rFonts w:ascii="Aptos" w:hAnsi="Aptos"/>
                <w:b w:val="0"/>
                <w:sz w:val="13"/>
              </w:rPr>
              <w:t>Reprise après reconnexion — Après logout/login ou reconnexion, l’utilisateur doit retrouver les opérations qu’il a lancées et est autorisé à voir.</w:t>
            </w:r>
          </w:p>
        </w:tc>
        <w:tc>
          <w:tcPr>
            <w:tcW w:type="dxa" w:w="4082"/>
            <w:vAlign w:val="top"/>
            <w:tcMar>
              <w:top w:w="60" w:type="dxa"/>
              <w:start w:w="60" w:type="dxa"/>
              <w:bottom w:w="60" w:type="dxa"/>
              <w:end w:w="60" w:type="dxa"/>
            </w:tcMar>
          </w:tcPr>
          <w:p>
            <w:pPr>
              <w:spacing w:after="0" w:before="0"/>
            </w:pPr>
            <w:r/>
            <w:r>
              <w:rPr>
                <w:rFonts w:ascii="Aptos" w:hAnsi="Aptos"/>
                <w:b w:val="0"/>
                <w:sz w:val="13"/>
              </w:rPr>
              <w:t>Liste/reprise via API; aucune dépendance à mémoire JS locale.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§20</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Persistance backend démontrée; UX de reprise après nouvelle session non démontrée.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REQ-OPS-004</w:t>
            </w:r>
          </w:p>
        </w:tc>
        <w:tc>
          <w:tcPr>
            <w:tcW w:type="dxa" w:w="4535"/>
            <w:vAlign w:val="top"/>
            <w:tcMar>
              <w:top w:w="60" w:type="dxa"/>
              <w:start w:w="60" w:type="dxa"/>
              <w:bottom w:w="60" w:type="dxa"/>
              <w:end w:w="60" w:type="dxa"/>
            </w:tcMar>
          </w:tcPr>
          <w:p>
            <w:pPr>
              <w:spacing w:after="0" w:before="0"/>
            </w:pPr>
            <w:r/>
            <w:r>
              <w:rPr>
                <w:rFonts w:ascii="Aptos" w:hAnsi="Aptos"/>
                <w:b w:val="0"/>
                <w:sz w:val="13"/>
              </w:rPr>
              <w:t>Centre d’opérations — Le dashboard doit disposer d’un endroit persistant pour suivre les opérations récentes/en cours.</w:t>
            </w:r>
          </w:p>
        </w:tc>
        <w:tc>
          <w:tcPr>
            <w:tcW w:type="dxa" w:w="4082"/>
            <w:vAlign w:val="top"/>
            <w:tcMar>
              <w:top w:w="60" w:type="dxa"/>
              <w:start w:w="60" w:type="dxa"/>
              <w:bottom w:w="60" w:type="dxa"/>
              <w:end w:w="60" w:type="dxa"/>
            </w:tcMar>
          </w:tcPr>
          <w:p>
            <w:pPr>
              <w:spacing w:after="0" w:before="0"/>
            </w:pPr>
            <w:r/>
            <w:r>
              <w:rPr>
                <w:rFonts w:ascii="Aptos" w:hAnsi="Aptos"/>
                <w:b w:val="0"/>
                <w:sz w:val="13"/>
              </w:rPr>
              <w:t>Affiche statut, progression, résultat, erreurs et actions possibles.</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§20</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OutboxScreen/PlanDrawer existent; sémantique “centre d’opérations” et reprise session non totalement prouvées.</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REQ-OPS-005</w:t>
            </w:r>
          </w:p>
        </w:tc>
        <w:tc>
          <w:tcPr>
            <w:tcW w:type="dxa" w:w="4535"/>
            <w:vAlign w:val="top"/>
            <w:tcMar>
              <w:top w:w="60" w:type="dxa"/>
              <w:start w:w="60" w:type="dxa"/>
              <w:bottom w:w="60" w:type="dxa"/>
              <w:end w:w="60" w:type="dxa"/>
            </w:tcMar>
          </w:tcPr>
          <w:p>
            <w:pPr>
              <w:spacing w:after="0" w:before="0"/>
            </w:pPr>
            <w:r/>
            <w:r>
              <w:rPr>
                <w:rFonts w:ascii="Aptos" w:hAnsi="Aptos"/>
                <w:b w:val="0"/>
                <w:sz w:val="13"/>
              </w:rPr>
              <w:t>États utilisateur — Les opérations doivent exposer au minimum queued/in progress/completed/failed/cancelled/blocked ou équivalents.</w:t>
            </w:r>
          </w:p>
        </w:tc>
        <w:tc>
          <w:tcPr>
            <w:tcW w:type="dxa" w:w="4082"/>
            <w:vAlign w:val="top"/>
            <w:tcMar>
              <w:top w:w="60" w:type="dxa"/>
              <w:start w:w="60" w:type="dxa"/>
              <w:bottom w:w="60" w:type="dxa"/>
              <w:end w:w="60" w:type="dxa"/>
            </w:tcMar>
          </w:tcPr>
          <w:p>
            <w:pPr>
              <w:spacing w:after="0" w:before="0"/>
            </w:pPr>
            <w:r/>
            <w:r>
              <w:rPr>
                <w:rFonts w:ascii="Aptos" w:hAnsi="Aptos"/>
                <w:b w:val="0"/>
                <w:sz w:val="13"/>
              </w:rPr>
              <w:t>Mapping stable entre états techniques et libellés localisés.</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§20</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PlanState/OperationState riches existent; équivalence UX complète non auditée.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REQ-OPS-006</w:t>
            </w:r>
          </w:p>
        </w:tc>
        <w:tc>
          <w:tcPr>
            <w:tcW w:type="dxa" w:w="4535"/>
            <w:vAlign w:val="top"/>
            <w:tcMar>
              <w:top w:w="60" w:type="dxa"/>
              <w:start w:w="60" w:type="dxa"/>
              <w:bottom w:w="60" w:type="dxa"/>
              <w:end w:w="60" w:type="dxa"/>
            </w:tcMar>
          </w:tcPr>
          <w:p>
            <w:pPr>
              <w:spacing w:after="0" w:before="0"/>
            </w:pPr>
            <w:r/>
            <w:r>
              <w:rPr>
                <w:rFonts w:ascii="Aptos" w:hAnsi="Aptos"/>
                <w:b w:val="0"/>
                <w:sz w:val="13"/>
              </w:rPr>
              <w:t>Erreur persistante — Une erreur finale doit rester consultable après disparition d’un toast.</w:t>
            </w:r>
          </w:p>
        </w:tc>
        <w:tc>
          <w:tcPr>
            <w:tcW w:type="dxa" w:w="4082"/>
            <w:vAlign w:val="top"/>
            <w:tcMar>
              <w:top w:w="60" w:type="dxa"/>
              <w:start w:w="60" w:type="dxa"/>
              <w:bottom w:w="60" w:type="dxa"/>
              <w:end w:w="60" w:type="dxa"/>
            </w:tcMar>
          </w:tcPr>
          <w:p>
            <w:pPr>
              <w:spacing w:after="0" w:before="0"/>
            </w:pPr>
            <w:r/>
            <w:r>
              <w:rPr>
                <w:rFonts w:ascii="Aptos" w:hAnsi="Aptos"/>
                <w:b w:val="0"/>
                <w:sz w:val="13"/>
              </w:rPr>
              <w:t>Code, message localisable, request/plan/op ID et étape sont disponibles.</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§20</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Persistance des résultats/erreurs plan présente; UX globale non démontrée.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REQ-OPS-007</w:t>
            </w:r>
          </w:p>
        </w:tc>
        <w:tc>
          <w:tcPr>
            <w:tcW w:type="dxa" w:w="4535"/>
            <w:vAlign w:val="top"/>
            <w:tcMar>
              <w:top w:w="60" w:type="dxa"/>
              <w:start w:w="60" w:type="dxa"/>
              <w:bottom w:w="60" w:type="dxa"/>
              <w:end w:w="60" w:type="dxa"/>
            </w:tcMar>
          </w:tcPr>
          <w:p>
            <w:pPr>
              <w:spacing w:after="0" w:before="0"/>
            </w:pPr>
            <w:r/>
            <w:r>
              <w:rPr>
                <w:rFonts w:ascii="Aptos" w:hAnsi="Aptos"/>
                <w:b w:val="0"/>
                <w:sz w:val="13"/>
              </w:rPr>
              <w:t>Actions de reprise — Quand techniquement possible, l’UI doit proposer retry/reconcile/intervention plutôt qu’un simple échec opaque.</w:t>
            </w:r>
          </w:p>
        </w:tc>
        <w:tc>
          <w:tcPr>
            <w:tcW w:type="dxa" w:w="4082"/>
            <w:vAlign w:val="top"/>
            <w:tcMar>
              <w:top w:w="60" w:type="dxa"/>
              <w:start w:w="60" w:type="dxa"/>
              <w:bottom w:w="60" w:type="dxa"/>
              <w:end w:w="60" w:type="dxa"/>
            </w:tcMar>
          </w:tcPr>
          <w:p>
            <w:pPr>
              <w:spacing w:after="0" w:before="0"/>
            </w:pPr>
            <w:r/>
            <w:r>
              <w:rPr>
                <w:rFonts w:ascii="Aptos" w:hAnsi="Aptos"/>
                <w:b w:val="0"/>
                <w:sz w:val="13"/>
              </w:rPr>
              <w:t>Action permise uniquement selon état et risque.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§20</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UNKNOWN_OUTCOME/reconciliation existent; UI complète non auditée.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REQ-OPS-008</w:t>
            </w:r>
          </w:p>
        </w:tc>
        <w:tc>
          <w:tcPr>
            <w:tcW w:type="dxa" w:w="4535"/>
            <w:vAlign w:val="top"/>
            <w:tcMar>
              <w:top w:w="60" w:type="dxa"/>
              <w:start w:w="60" w:type="dxa"/>
              <w:bottom w:w="60" w:type="dxa"/>
              <w:end w:w="60" w:type="dxa"/>
            </w:tcMar>
          </w:tcPr>
          <w:p>
            <w:pPr>
              <w:spacing w:after="0" w:before="0"/>
            </w:pPr>
            <w:r/>
            <w:r>
              <w:rPr>
                <w:rFonts w:ascii="Aptos" w:hAnsi="Aptos"/>
                <w:b w:val="0"/>
                <w:sz w:val="13"/>
              </w:rPr>
              <w:t>Brouillon explicite — Une configuration non appliquée doit être identifiée comme brouillon et non comme état actif.</w:t>
            </w:r>
          </w:p>
        </w:tc>
        <w:tc>
          <w:tcPr>
            <w:tcW w:type="dxa" w:w="4082"/>
            <w:vAlign w:val="top"/>
            <w:tcMar>
              <w:top w:w="60" w:type="dxa"/>
              <w:start w:w="60" w:type="dxa"/>
              <w:bottom w:w="60" w:type="dxa"/>
              <w:end w:w="60" w:type="dxa"/>
            </w:tcMar>
          </w:tcPr>
          <w:p>
            <w:pPr>
              <w:spacing w:after="0" w:before="0"/>
            </w:pPr>
            <w:r/>
            <w:r>
              <w:rPr>
                <w:rFonts w:ascii="Aptos" w:hAnsi="Aptos"/>
                <w:b w:val="0"/>
                <w:sz w:val="13"/>
              </w:rPr>
              <w:t>Étiquette/état DRAFT visible.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§20</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PlanState.DRAFT existe; usage universel hors plan non démontré.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REQ-OPS-009</w:t>
            </w:r>
          </w:p>
        </w:tc>
        <w:tc>
          <w:tcPr>
            <w:tcW w:type="dxa" w:w="4535"/>
            <w:vAlign w:val="top"/>
            <w:tcMar>
              <w:top w:w="60" w:type="dxa"/>
              <w:start w:w="60" w:type="dxa"/>
              <w:bottom w:w="60" w:type="dxa"/>
              <w:end w:w="60" w:type="dxa"/>
            </w:tcMar>
          </w:tcPr>
          <w:p>
            <w:pPr>
              <w:spacing w:after="0" w:before="0"/>
            </w:pPr>
            <w:r/>
            <w:r>
              <w:rPr>
                <w:rFonts w:ascii="Aptos" w:hAnsi="Aptos"/>
                <w:b w:val="0"/>
                <w:sz w:val="13"/>
              </w:rPr>
              <w:t>Appliquer brouillon — Un brouillon validable doit pouvoir être compilé/appliqué via le pipeline canonique.</w:t>
            </w:r>
          </w:p>
        </w:tc>
        <w:tc>
          <w:tcPr>
            <w:tcW w:type="dxa" w:w="4082"/>
            <w:vAlign w:val="top"/>
            <w:tcMar>
              <w:top w:w="60" w:type="dxa"/>
              <w:start w:w="60" w:type="dxa"/>
              <w:bottom w:w="60" w:type="dxa"/>
              <w:end w:w="60" w:type="dxa"/>
            </w:tcMar>
          </w:tcPr>
          <w:p>
            <w:pPr>
              <w:spacing w:after="0" w:before="0"/>
            </w:pPr>
            <w:r/>
            <w:r>
              <w:rPr>
                <w:rFonts w:ascii="Aptos" w:hAnsi="Aptos"/>
                <w:b w:val="0"/>
                <w:sz w:val="13"/>
              </w:rPr>
              <w:t>Preflight et confirmation avant mutation.</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§20</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Pipeline plan existe; tous types de brouillons non unifiés.</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REQ-OPS-010</w:t>
            </w:r>
          </w:p>
        </w:tc>
        <w:tc>
          <w:tcPr>
            <w:tcW w:type="dxa" w:w="4535"/>
            <w:vAlign w:val="top"/>
            <w:tcMar>
              <w:top w:w="60" w:type="dxa"/>
              <w:start w:w="60" w:type="dxa"/>
              <w:bottom w:w="60" w:type="dxa"/>
              <w:end w:w="60" w:type="dxa"/>
            </w:tcMar>
          </w:tcPr>
          <w:p>
            <w:pPr>
              <w:spacing w:after="0" w:before="0"/>
            </w:pPr>
            <w:r/>
            <w:r>
              <w:rPr>
                <w:rFonts w:ascii="Aptos" w:hAnsi="Aptos"/>
                <w:b w:val="0"/>
                <w:sz w:val="13"/>
              </w:rPr>
              <w:t>Abandonner brouillon — L’utilisateur doit pouvoir abandonner explicitement un brouillon.</w:t>
            </w:r>
          </w:p>
        </w:tc>
        <w:tc>
          <w:tcPr>
            <w:tcW w:type="dxa" w:w="4082"/>
            <w:vAlign w:val="top"/>
            <w:tcMar>
              <w:top w:w="60" w:type="dxa"/>
              <w:start w:w="60" w:type="dxa"/>
              <w:bottom w:w="60" w:type="dxa"/>
              <w:end w:w="60" w:type="dxa"/>
            </w:tcMar>
          </w:tcPr>
          <w:p>
            <w:pPr>
              <w:spacing w:after="0" w:before="0"/>
            </w:pPr>
            <w:r/>
            <w:r>
              <w:rPr>
                <w:rFonts w:ascii="Aptos" w:hAnsi="Aptos"/>
                <w:b w:val="0"/>
                <w:sz w:val="13"/>
              </w:rPr>
              <w:t>Action distincte de l’échec et de l’annulation d’une opération en cours.</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§20</w:t>
            </w:r>
          </w:p>
        </w:tc>
        <w:tc>
          <w:tcPr>
            <w:tcW w:type="dxa" w:w="1474"/>
            <w:vAlign w:val="top"/>
            <w:tcMar>
              <w:top w:w="60" w:type="dxa"/>
              <w:start w:w="60" w:type="dxa"/>
              <w:bottom w:w="60" w:type="dxa"/>
              <w:end w:w="60" w:type="dxa"/>
            </w:tcMar>
            <w:shd w:fill="E7E6E6"/>
          </w:tcPr>
          <w:p>
            <w:pPr>
              <w:spacing w:after="0" w:before="0"/>
            </w:pPr>
            <w:r/>
            <w:r>
              <w:rPr>
                <w:rFonts w:ascii="Aptos" w:hAnsi="Aptos"/>
                <w:b/>
                <w:sz w:val="13"/>
              </w:rPr>
              <w:t>NON DÉMONTRÉ</w:t>
            </w:r>
          </w:p>
        </w:tc>
        <w:tc>
          <w:tcPr>
            <w:tcW w:type="dxa" w:w="2948"/>
            <w:vAlign w:val="top"/>
            <w:tcMar>
              <w:top w:w="60" w:type="dxa"/>
              <w:start w:w="60" w:type="dxa"/>
              <w:bottom w:w="60" w:type="dxa"/>
              <w:end w:w="60" w:type="dxa"/>
            </w:tcMar>
          </w:tcPr>
          <w:p>
            <w:pPr>
              <w:spacing w:after="0" w:before="0"/>
            </w:pPr>
            <w:r/>
            <w:r>
              <w:rPr>
                <w:rFonts w:ascii="Aptos" w:hAnsi="Aptos"/>
                <w:b w:val="0"/>
                <w:sz w:val="13"/>
              </w:rPr>
              <w:t>Pas de sémantique unifiée “Discard draft” démontrée.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REQ-OPS-011</w:t>
            </w:r>
          </w:p>
        </w:tc>
        <w:tc>
          <w:tcPr>
            <w:tcW w:type="dxa" w:w="4535"/>
            <w:vAlign w:val="top"/>
            <w:tcMar>
              <w:top w:w="60" w:type="dxa"/>
              <w:start w:w="60" w:type="dxa"/>
              <w:bottom w:w="60" w:type="dxa"/>
              <w:end w:w="60" w:type="dxa"/>
            </w:tcMar>
          </w:tcPr>
          <w:p>
            <w:pPr>
              <w:spacing w:after="0" w:before="0"/>
            </w:pPr>
            <w:r/>
            <w:r>
              <w:rPr>
                <w:rFonts w:ascii="Aptos" w:hAnsi="Aptos"/>
                <w:b w:val="0"/>
                <w:sz w:val="13"/>
              </w:rPr>
              <w:t>Suppression payload brouillon — Après abandon confirmé, le payload métier du brouillon doit être supprimé selon la politique de rétention.</w:t>
            </w:r>
          </w:p>
        </w:tc>
        <w:tc>
          <w:tcPr>
            <w:tcW w:type="dxa" w:w="4082"/>
            <w:vAlign w:val="top"/>
            <w:tcMar>
              <w:top w:w="60" w:type="dxa"/>
              <w:start w:w="60" w:type="dxa"/>
              <w:bottom w:w="60" w:type="dxa"/>
              <w:end w:w="60" w:type="dxa"/>
            </w:tcMar>
          </w:tcPr>
          <w:p>
            <w:pPr>
              <w:spacing w:after="0" w:before="0"/>
            </w:pPr>
            <w:r/>
            <w:r>
              <w:rPr>
                <w:rFonts w:ascii="Aptos" w:hAnsi="Aptos"/>
                <w:b w:val="0"/>
                <w:sz w:val="13"/>
              </w:rPr>
              <w:t>Une relecture ne restitue pas le contenu abandonné.</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§20</w:t>
            </w:r>
          </w:p>
        </w:tc>
        <w:tc>
          <w:tcPr>
            <w:tcW w:type="dxa" w:w="1474"/>
            <w:vAlign w:val="top"/>
            <w:tcMar>
              <w:top w:w="60" w:type="dxa"/>
              <w:start w:w="60" w:type="dxa"/>
              <w:bottom w:w="60" w:type="dxa"/>
              <w:end w:w="60" w:type="dxa"/>
            </w:tcMar>
            <w:shd w:fill="E7E6E6"/>
          </w:tcPr>
          <w:p>
            <w:pPr>
              <w:spacing w:after="0" w:before="0"/>
            </w:pPr>
            <w:r/>
            <w:r>
              <w:rPr>
                <w:rFonts w:ascii="Aptos" w:hAnsi="Aptos"/>
                <w:b/>
                <w:sz w:val="13"/>
              </w:rPr>
              <w:t>NON DÉMONTRÉ</w:t>
            </w:r>
          </w:p>
        </w:tc>
        <w:tc>
          <w:tcPr>
            <w:tcW w:type="dxa" w:w="2948"/>
            <w:vAlign w:val="top"/>
            <w:tcMar>
              <w:top w:w="60" w:type="dxa"/>
              <w:start w:w="60" w:type="dxa"/>
              <w:bottom w:w="60" w:type="dxa"/>
              <w:end w:w="60" w:type="dxa"/>
            </w:tcMar>
          </w:tcPr>
          <w:p>
            <w:pPr>
              <w:spacing w:after="0" w:before="0"/>
            </w:pPr>
            <w:r/>
            <w:r>
              <w:rPr>
                <w:rFonts w:ascii="Aptos" w:hAnsi="Aptos"/>
                <w:b w:val="0"/>
                <w:sz w:val="13"/>
              </w:rPr>
              <w:t>Pas de preuve de purge du payload de draft.</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REQ-OPS-012</w:t>
            </w:r>
          </w:p>
        </w:tc>
        <w:tc>
          <w:tcPr>
            <w:tcW w:type="dxa" w:w="4535"/>
            <w:vAlign w:val="top"/>
            <w:tcMar>
              <w:top w:w="60" w:type="dxa"/>
              <w:start w:w="60" w:type="dxa"/>
              <w:bottom w:w="60" w:type="dxa"/>
              <w:end w:w="60" w:type="dxa"/>
            </w:tcMar>
          </w:tcPr>
          <w:p>
            <w:pPr>
              <w:spacing w:after="0" w:before="0"/>
            </w:pPr>
            <w:r/>
            <w:r>
              <w:rPr>
                <w:rFonts w:ascii="Aptos" w:hAnsi="Aptos"/>
                <w:b w:val="0"/>
                <w:sz w:val="13"/>
              </w:rPr>
              <w:t>Audit minimal abandon — Un événement minimal peut subsister pour audit sans conserver inutilement le contenu du brouillon.</w:t>
            </w:r>
          </w:p>
        </w:tc>
        <w:tc>
          <w:tcPr>
            <w:tcW w:type="dxa" w:w="4082"/>
            <w:vAlign w:val="top"/>
            <w:tcMar>
              <w:top w:w="60" w:type="dxa"/>
              <w:start w:w="60" w:type="dxa"/>
              <w:bottom w:w="60" w:type="dxa"/>
              <w:end w:w="60" w:type="dxa"/>
            </w:tcMar>
          </w:tcPr>
          <w:p>
            <w:pPr>
              <w:spacing w:after="0" w:before="0"/>
            </w:pPr>
            <w:r/>
            <w:r>
              <w:rPr>
                <w:rFonts w:ascii="Aptos" w:hAnsi="Aptos"/>
                <w:b w:val="0"/>
                <w:sz w:val="13"/>
              </w:rPr>
              <w:t>Conserve ID/auteur/date/type, pas les données sensibles non nécessaires.</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§20</w:t>
            </w:r>
          </w:p>
        </w:tc>
        <w:tc>
          <w:tcPr>
            <w:tcW w:type="dxa" w:w="1474"/>
            <w:vAlign w:val="top"/>
            <w:tcMar>
              <w:top w:w="60" w:type="dxa"/>
              <w:start w:w="60" w:type="dxa"/>
              <w:bottom w:w="60" w:type="dxa"/>
              <w:end w:w="60" w:type="dxa"/>
            </w:tcMar>
            <w:shd w:fill="E7E6E6"/>
          </w:tcPr>
          <w:p>
            <w:pPr>
              <w:spacing w:after="0" w:before="0"/>
            </w:pPr>
            <w:r/>
            <w:r>
              <w:rPr>
                <w:rFonts w:ascii="Aptos" w:hAnsi="Aptos"/>
                <w:b/>
                <w:sz w:val="13"/>
              </w:rPr>
              <w:t>NON DÉMONTRÉ</w:t>
            </w:r>
          </w:p>
        </w:tc>
        <w:tc>
          <w:tcPr>
            <w:tcW w:type="dxa" w:w="2948"/>
            <w:vAlign w:val="top"/>
            <w:tcMar>
              <w:top w:w="60" w:type="dxa"/>
              <w:start w:w="60" w:type="dxa"/>
              <w:bottom w:w="60" w:type="dxa"/>
              <w:end w:w="60" w:type="dxa"/>
            </w:tcMar>
          </w:tcPr>
          <w:p>
            <w:pPr>
              <w:spacing w:after="0" w:before="0"/>
            </w:pPr>
            <w:r/>
            <w:r>
              <w:rPr>
                <w:rFonts w:ascii="Aptos" w:hAnsi="Aptos"/>
                <w:b w:val="0"/>
                <w:sz w:val="13"/>
              </w:rPr>
              <w:t>Pas de politique dédiée démontrée.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REQ-OPS-013</w:t>
            </w:r>
          </w:p>
        </w:tc>
        <w:tc>
          <w:tcPr>
            <w:tcW w:type="dxa" w:w="4535"/>
            <w:vAlign w:val="top"/>
            <w:tcMar>
              <w:top w:w="60" w:type="dxa"/>
              <w:start w:w="60" w:type="dxa"/>
              <w:bottom w:w="60" w:type="dxa"/>
              <w:end w:w="60" w:type="dxa"/>
            </w:tcMar>
          </w:tcPr>
          <w:p>
            <w:pPr>
              <w:spacing w:after="0" w:before="0"/>
            </w:pPr>
            <w:r/>
            <w:r>
              <w:rPr>
                <w:rFonts w:ascii="Aptos" w:hAnsi="Aptos"/>
                <w:b w:val="0"/>
                <w:sz w:val="13"/>
              </w:rPr>
              <w:t>Pas de succès optimiste — Une opération n’est affichée comme réussie qu’après état serveur appliqué/vérifié accepté.</w:t>
            </w:r>
          </w:p>
        </w:tc>
        <w:tc>
          <w:tcPr>
            <w:tcW w:type="dxa" w:w="4082"/>
            <w:vAlign w:val="top"/>
            <w:tcMar>
              <w:top w:w="60" w:type="dxa"/>
              <w:start w:w="60" w:type="dxa"/>
              <w:bottom w:w="60" w:type="dxa"/>
              <w:end w:w="60" w:type="dxa"/>
            </w:tcMar>
          </w:tcPr>
          <w:p>
            <w:pPr>
              <w:spacing w:after="0" w:before="0"/>
            </w:pPr>
            <w:r/>
            <w:r>
              <w:rPr>
                <w:rFonts w:ascii="Aptos" w:hAnsi="Aptos"/>
                <w:b w:val="0"/>
                <w:sz w:val="13"/>
              </w:rPr>
              <w:t>Aucun toast “succès” basé uniquement sur 202/queue.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§20</w:t>
            </w:r>
          </w:p>
        </w:tc>
        <w:tc>
          <w:tcPr>
            <w:tcW w:type="dxa" w:w="1474"/>
            <w:vAlign w:val="top"/>
            <w:tcMar>
              <w:top w:w="60" w:type="dxa"/>
              <w:start w:w="60" w:type="dxa"/>
              <w:bottom w:w="60" w:type="dxa"/>
              <w:end w:w="60" w:type="dxa"/>
            </w:tcMar>
            <w:shd w:fill="E2F0D9"/>
          </w:tcPr>
          <w:p>
            <w:pPr>
              <w:spacing w:after="0" w:before="0"/>
            </w:pPr>
            <w:r/>
            <w:r>
              <w:rPr>
                <w:rFonts w:ascii="Aptos" w:hAnsi="Aptos"/>
                <w:b/>
                <w:sz w:val="13"/>
              </w:rPr>
              <w:t>CONFORME</w:t>
            </w:r>
          </w:p>
        </w:tc>
        <w:tc>
          <w:tcPr>
            <w:tcW w:type="dxa" w:w="2948"/>
            <w:vAlign w:val="top"/>
            <w:tcMar>
              <w:top w:w="60" w:type="dxa"/>
              <w:start w:w="60" w:type="dxa"/>
              <w:bottom w:w="60" w:type="dxa"/>
              <w:end w:w="60" w:type="dxa"/>
            </w:tcMar>
          </w:tcPr>
          <w:p>
            <w:pPr>
              <w:spacing w:after="0" w:before="0"/>
            </w:pPr>
            <w:r/>
            <w:r>
              <w:rPr>
                <w:rFonts w:ascii="Aptos" w:hAnsi="Aptos"/>
                <w:b w:val="0"/>
                <w:sz w:val="13"/>
              </w:rPr>
              <w:t>REQ-UX-007 et architecture plan; état terminal backend utilisé.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REQ-OPS-014</w:t>
            </w:r>
          </w:p>
        </w:tc>
        <w:tc>
          <w:tcPr>
            <w:tcW w:type="dxa" w:w="4535"/>
            <w:vAlign w:val="top"/>
            <w:tcMar>
              <w:top w:w="60" w:type="dxa"/>
              <w:start w:w="60" w:type="dxa"/>
              <w:bottom w:w="60" w:type="dxa"/>
              <w:end w:w="60" w:type="dxa"/>
            </w:tcMar>
          </w:tcPr>
          <w:p>
            <w:pPr>
              <w:spacing w:after="0" w:before="0"/>
            </w:pPr>
            <w:r/>
            <w:r>
              <w:rPr>
                <w:rFonts w:ascii="Aptos" w:hAnsi="Aptos"/>
                <w:b w:val="0"/>
                <w:sz w:val="13"/>
              </w:rPr>
              <w:t>Progression par étape — Les opérations longues doivent afficher leur progression durable par étape.</w:t>
            </w:r>
          </w:p>
        </w:tc>
        <w:tc>
          <w:tcPr>
            <w:tcW w:type="dxa" w:w="4082"/>
            <w:vAlign w:val="top"/>
            <w:tcMar>
              <w:top w:w="60" w:type="dxa"/>
              <w:start w:w="60" w:type="dxa"/>
              <w:bottom w:w="60" w:type="dxa"/>
              <w:end w:w="60" w:type="dxa"/>
            </w:tcMar>
          </w:tcPr>
          <w:p>
            <w:pPr>
              <w:spacing w:after="0" w:before="0"/>
            </w:pPr>
            <w:r/>
            <w:r>
              <w:rPr>
                <w:rFonts w:ascii="Aptos" w:hAnsi="Aptos"/>
                <w:b w:val="0"/>
                <w:sz w:val="13"/>
              </w:rPr>
              <w:t>Progression relisible et non seulement animation locale.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Décisions produit + REF-FONC §20</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REQ-UX-006 et plan progress existent; persistance inter-session UI non complètement prouvée.</w:t>
            </w:r>
          </w:p>
        </w:tc>
      </w:tr>
    </w:tbl>
    <w:p/>
    <w:p>
      <w:pPr>
        <w:pStyle w:val="Heading2"/>
      </w:pPr>
      <w:r>
        <w:t>5.5 Templates d’infrastructure</w:t>
      </w:r>
    </w:p>
    <w:tbl>
      <w:tblPr>
        <w:tblW w:type="auto" w:w="0"/>
        <w:jc w:val="center"/>
        <w:tblLayout w:type="fixed"/>
        <w:tblLook w:firstColumn="1" w:firstRow="1" w:lastColumn="0" w:lastRow="0" w:noHBand="0" w:noVBand="1" w:val="04A0"/>
      </w:tblPr>
      <w:tblGrid>
        <w:gridCol w:w="1247"/>
        <w:gridCol w:w="4535"/>
        <w:gridCol w:w="4082"/>
        <w:gridCol w:w="1701"/>
        <w:gridCol w:w="1474"/>
        <w:gridCol w:w="2948"/>
      </w:tblGrid>
      <w:tr>
        <w:trPr>
          <w:tblHeader w:val="true"/>
          <w:cantSplit/>
        </w:trPr>
        <w:tc>
          <w:tcPr>
            <w:tcW w:type="dxa" w:w="2580"/>
            <w:vAlign w:val="top"/>
            <w:tcMar>
              <w:top w:w="60" w:type="dxa"/>
              <w:start w:w="60" w:type="dxa"/>
              <w:bottom w:w="60" w:type="dxa"/>
              <w:end w:w="60" w:type="dxa"/>
            </w:tcMar>
            <w:shd w:fill="D9EAF7"/>
          </w:tcPr>
          <w:p>
            <w:pPr>
              <w:spacing w:after="0" w:before="0"/>
            </w:pPr>
            <w:r/>
            <w:r>
              <w:rPr>
                <w:rFonts w:ascii="Aptos" w:hAnsi="Aptos"/>
                <w:b/>
                <w:sz w:val="14"/>
              </w:rPr>
              <w:t>ID</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Exigence atomique</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Critère d’acceptation</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Source</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Statut</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Preuve / écart</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REQ-TPL-001</w:t>
            </w:r>
          </w:p>
        </w:tc>
        <w:tc>
          <w:tcPr>
            <w:tcW w:type="dxa" w:w="4535"/>
            <w:vAlign w:val="top"/>
            <w:tcMar>
              <w:top w:w="60" w:type="dxa"/>
              <w:start w:w="60" w:type="dxa"/>
              <w:bottom w:w="60" w:type="dxa"/>
              <w:end w:w="60" w:type="dxa"/>
            </w:tcMar>
          </w:tcPr>
          <w:p>
            <w:pPr>
              <w:spacing w:after="0" w:before="0"/>
            </w:pPr>
            <w:r/>
            <w:r>
              <w:rPr>
                <w:rFonts w:ascii="Aptos" w:hAnsi="Aptos"/>
                <w:b w:val="0"/>
                <w:sz w:val="13"/>
              </w:rPr>
              <w:t>Catalogue infrastructure — Le produit doit proposer un catalogue de modèles d’infrastructure Discord.</w:t>
            </w:r>
          </w:p>
        </w:tc>
        <w:tc>
          <w:tcPr>
            <w:tcW w:type="dxa" w:w="4082"/>
            <w:vAlign w:val="top"/>
            <w:tcMar>
              <w:top w:w="60" w:type="dxa"/>
              <w:start w:w="60" w:type="dxa"/>
              <w:bottom w:w="60" w:type="dxa"/>
              <w:end w:w="60" w:type="dxa"/>
            </w:tcMar>
          </w:tcPr>
          <w:p>
            <w:pPr>
              <w:spacing w:after="0" w:before="0"/>
            </w:pPr>
            <w:r/>
            <w:r>
              <w:rPr>
                <w:rFonts w:ascii="Aptos" w:hAnsi="Aptos"/>
                <w:b w:val="0"/>
                <w:sz w:val="13"/>
              </w:rPr>
              <w:t>Au minimum les familles prévues au §25: gaming, professionnel, communauté, éducatif ou équivalents.</w:t>
            </w:r>
          </w:p>
        </w:tc>
        <w:tc>
          <w:tcPr>
            <w:tcW w:type="dxa" w:w="1701"/>
            <w:vAlign w:val="top"/>
            <w:tcMar>
              <w:top w:w="60" w:type="dxa"/>
              <w:start w:w="60" w:type="dxa"/>
              <w:bottom w:w="60" w:type="dxa"/>
              <w:end w:w="60" w:type="dxa"/>
            </w:tcMar>
          </w:tcPr>
          <w:p>
            <w:pPr>
              <w:spacing w:after="0" w:before="0"/>
            </w:pPr>
            <w:r/>
            <w:r>
              <w:rPr>
                <w:rFonts w:ascii="Aptos" w:hAnsi="Aptos"/>
                <w:b w:val="0"/>
                <w:sz w:val="13"/>
              </w:rPr>
              <w:t>REF-FONC §25 + décisions produit</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Stage06 possède des templates portables; aucun catalogue UX préconstruit clairement démontré.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REQ-TPL-002</w:t>
            </w:r>
          </w:p>
        </w:tc>
        <w:tc>
          <w:tcPr>
            <w:tcW w:type="dxa" w:w="4535"/>
            <w:vAlign w:val="top"/>
            <w:tcMar>
              <w:top w:w="60" w:type="dxa"/>
              <w:start w:w="60" w:type="dxa"/>
              <w:bottom w:w="60" w:type="dxa"/>
              <w:end w:w="60" w:type="dxa"/>
            </w:tcMar>
          </w:tcPr>
          <w:p>
            <w:pPr>
              <w:spacing w:after="0" w:before="0"/>
            </w:pPr>
            <w:r/>
            <w:r>
              <w:rPr>
                <w:rFonts w:ascii="Aptos" w:hAnsi="Aptos"/>
                <w:b w:val="0"/>
                <w:sz w:val="13"/>
              </w:rPr>
              <w:t>Adaptation Guild — Un template doit s’adapter à la Guild sélectionnée.</w:t>
            </w:r>
          </w:p>
        </w:tc>
        <w:tc>
          <w:tcPr>
            <w:tcW w:type="dxa" w:w="4082"/>
            <w:vAlign w:val="top"/>
            <w:tcMar>
              <w:top w:w="60" w:type="dxa"/>
              <w:start w:w="60" w:type="dxa"/>
              <w:bottom w:w="60" w:type="dxa"/>
              <w:end w:w="60" w:type="dxa"/>
            </w:tcMar>
          </w:tcPr>
          <w:p>
            <w:pPr>
              <w:spacing w:after="0" w:before="0"/>
            </w:pPr>
            <w:r/>
            <w:r>
              <w:rPr>
                <w:rFonts w:ascii="Aptos" w:hAnsi="Aptos"/>
                <w:b w:val="0"/>
                <w:sz w:val="13"/>
              </w:rPr>
              <w:t>Analyse existants/capacités/limites avant proposition.</w:t>
            </w:r>
          </w:p>
        </w:tc>
        <w:tc>
          <w:tcPr>
            <w:tcW w:type="dxa" w:w="1701"/>
            <w:vAlign w:val="top"/>
            <w:tcMar>
              <w:top w:w="60" w:type="dxa"/>
              <w:start w:w="60" w:type="dxa"/>
              <w:bottom w:w="60" w:type="dxa"/>
              <w:end w:w="60" w:type="dxa"/>
            </w:tcMar>
          </w:tcPr>
          <w:p>
            <w:pPr>
              <w:spacing w:after="0" w:before="0"/>
            </w:pPr>
            <w:r/>
            <w:r>
              <w:rPr>
                <w:rFonts w:ascii="Aptos" w:hAnsi="Aptos"/>
                <w:b w:val="0"/>
                <w:sz w:val="13"/>
              </w:rPr>
              <w:t>REF-FONC §25 + décisions produit</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Pipeline portable/preflight existe; UX d’adaptation préconstruite non prouvée.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REQ-TPL-003</w:t>
            </w:r>
          </w:p>
        </w:tc>
        <w:tc>
          <w:tcPr>
            <w:tcW w:type="dxa" w:w="4535"/>
            <w:vAlign w:val="top"/>
            <w:tcMar>
              <w:top w:w="60" w:type="dxa"/>
              <w:start w:w="60" w:type="dxa"/>
              <w:bottom w:w="60" w:type="dxa"/>
              <w:end w:w="60" w:type="dxa"/>
            </w:tcMar>
          </w:tcPr>
          <w:p>
            <w:pPr>
              <w:spacing w:after="0" w:before="0"/>
            </w:pPr>
            <w:r/>
            <w:r>
              <w:rPr>
                <w:rFonts w:ascii="Aptos" w:hAnsi="Aptos"/>
                <w:b w:val="0"/>
                <w:sz w:val="13"/>
              </w:rPr>
              <w:t>Aperçu — Le template doit produire une preview/diff avant mutation.</w:t>
            </w:r>
          </w:p>
        </w:tc>
        <w:tc>
          <w:tcPr>
            <w:tcW w:type="dxa" w:w="4082"/>
            <w:vAlign w:val="top"/>
            <w:tcMar>
              <w:top w:w="60" w:type="dxa"/>
              <w:start w:w="60" w:type="dxa"/>
              <w:bottom w:w="60" w:type="dxa"/>
              <w:end w:w="60" w:type="dxa"/>
            </w:tcMar>
          </w:tcPr>
          <w:p>
            <w:pPr>
              <w:spacing w:after="0" w:before="0"/>
            </w:pPr>
            <w:r/>
            <w:r>
              <w:rPr>
                <w:rFonts w:ascii="Aptos" w:hAnsi="Aptos"/>
                <w:b w:val="0"/>
                <w:sz w:val="13"/>
              </w:rPr>
              <w:t>Ressources créées/réutilisées/remappées/ignorées/impossibles visibles.</w:t>
            </w:r>
          </w:p>
        </w:tc>
        <w:tc>
          <w:tcPr>
            <w:tcW w:type="dxa" w:w="1701"/>
            <w:vAlign w:val="top"/>
            <w:tcMar>
              <w:top w:w="60" w:type="dxa"/>
              <w:start w:w="60" w:type="dxa"/>
              <w:bottom w:w="60" w:type="dxa"/>
              <w:end w:w="60" w:type="dxa"/>
            </w:tcMar>
          </w:tcPr>
          <w:p>
            <w:pPr>
              <w:spacing w:after="0" w:before="0"/>
            </w:pPr>
            <w:r/>
            <w:r>
              <w:rPr>
                <w:rFonts w:ascii="Aptos" w:hAnsi="Aptos"/>
                <w:b w:val="0"/>
                <w:sz w:val="13"/>
              </w:rPr>
              <w:t>REF-FONC §25 + décisions produit</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Portabilité rapporte mappings; écran dédié de template infrastructure non prouvé.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REQ-TPL-004</w:t>
            </w:r>
          </w:p>
        </w:tc>
        <w:tc>
          <w:tcPr>
            <w:tcW w:type="dxa" w:w="4535"/>
            <w:vAlign w:val="top"/>
            <w:tcMar>
              <w:top w:w="60" w:type="dxa"/>
              <w:start w:w="60" w:type="dxa"/>
              <w:bottom w:w="60" w:type="dxa"/>
              <w:end w:w="60" w:type="dxa"/>
            </w:tcMar>
          </w:tcPr>
          <w:p>
            <w:pPr>
              <w:spacing w:after="0" w:before="0"/>
            </w:pPr>
            <w:r/>
            <w:r>
              <w:rPr>
                <w:rFonts w:ascii="Aptos" w:hAnsi="Aptos"/>
                <w:b w:val="0"/>
                <w:sz w:val="13"/>
              </w:rPr>
              <w:t>Rôles suggérés — Un template peut suggérer des rôles absents sans les créer immédiatement.</w:t>
            </w:r>
          </w:p>
        </w:tc>
        <w:tc>
          <w:tcPr>
            <w:tcW w:type="dxa" w:w="4082"/>
            <w:vAlign w:val="top"/>
            <w:tcMar>
              <w:top w:w="60" w:type="dxa"/>
              <w:start w:w="60" w:type="dxa"/>
              <w:bottom w:w="60" w:type="dxa"/>
              <w:end w:w="60" w:type="dxa"/>
            </w:tcMar>
          </w:tcPr>
          <w:p>
            <w:pPr>
              <w:spacing w:after="0" w:before="0"/>
            </w:pPr>
            <w:r/>
            <w:r>
              <w:rPr>
                <w:rFonts w:ascii="Aptos" w:hAnsi="Aptos"/>
                <w:b w:val="0"/>
                <w:sz w:val="13"/>
              </w:rPr>
              <w:t>Suggestion éditable et confirmable.</w:t>
            </w:r>
          </w:p>
        </w:tc>
        <w:tc>
          <w:tcPr>
            <w:tcW w:type="dxa" w:w="1701"/>
            <w:vAlign w:val="top"/>
            <w:tcMar>
              <w:top w:w="60" w:type="dxa"/>
              <w:start w:w="60" w:type="dxa"/>
              <w:bottom w:w="60" w:type="dxa"/>
              <w:end w:w="60" w:type="dxa"/>
            </w:tcMar>
          </w:tcPr>
          <w:p>
            <w:pPr>
              <w:spacing w:after="0" w:before="0"/>
            </w:pPr>
            <w:r/>
            <w:r>
              <w:rPr>
                <w:rFonts w:ascii="Aptos" w:hAnsi="Aptos"/>
                <w:b w:val="0"/>
                <w:sz w:val="13"/>
              </w:rPr>
              <w:t>REF-FONC §25 + décisions produit</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COPY_AS_NEW sait créer; expérience de suggestion non démontrée.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REQ-TPL-005</w:t>
            </w:r>
          </w:p>
        </w:tc>
        <w:tc>
          <w:tcPr>
            <w:tcW w:type="dxa" w:w="4535"/>
            <w:vAlign w:val="top"/>
            <w:tcMar>
              <w:top w:w="60" w:type="dxa"/>
              <w:start w:w="60" w:type="dxa"/>
              <w:bottom w:w="60" w:type="dxa"/>
              <w:end w:w="60" w:type="dxa"/>
            </w:tcMar>
          </w:tcPr>
          <w:p>
            <w:pPr>
              <w:spacing w:after="0" w:before="0"/>
            </w:pPr>
            <w:r/>
            <w:r>
              <w:rPr>
                <w:rFonts w:ascii="Aptos" w:hAnsi="Aptos"/>
                <w:b w:val="0"/>
                <w:sz w:val="13"/>
              </w:rPr>
              <w:t>Références symboliques — Un template portable ne doit pas dépendre d’IDs Discord source comme identité cible.</w:t>
            </w:r>
          </w:p>
        </w:tc>
        <w:tc>
          <w:tcPr>
            <w:tcW w:type="dxa" w:w="4082"/>
            <w:vAlign w:val="top"/>
            <w:tcMar>
              <w:top w:w="60" w:type="dxa"/>
              <w:start w:w="60" w:type="dxa"/>
              <w:bottom w:w="60" w:type="dxa"/>
              <w:end w:w="60" w:type="dxa"/>
            </w:tcMar>
          </w:tcPr>
          <w:p>
            <w:pPr>
              <w:spacing w:after="0" w:before="0"/>
            </w:pPr>
            <w:r/>
            <w:r>
              <w:rPr>
                <w:rFonts w:ascii="Aptos" w:hAnsi="Aptos"/>
                <w:b w:val="0"/>
                <w:sz w:val="13"/>
              </w:rPr>
              <w:t>Mappings/symboles explicites utilisés.</w:t>
            </w:r>
          </w:p>
        </w:tc>
        <w:tc>
          <w:tcPr>
            <w:tcW w:type="dxa" w:w="1701"/>
            <w:vAlign w:val="top"/>
            <w:tcMar>
              <w:top w:w="60" w:type="dxa"/>
              <w:start w:w="60" w:type="dxa"/>
              <w:bottom w:w="60" w:type="dxa"/>
              <w:end w:w="60" w:type="dxa"/>
            </w:tcMar>
          </w:tcPr>
          <w:p>
            <w:pPr>
              <w:spacing w:after="0" w:before="0"/>
            </w:pPr>
            <w:r/>
            <w:r>
              <w:rPr>
                <w:rFonts w:ascii="Aptos" w:hAnsi="Aptos"/>
                <w:b w:val="0"/>
                <w:sz w:val="13"/>
              </w:rPr>
              <w:t>REF-FONC §25 + décisions produit</w:t>
            </w:r>
          </w:p>
        </w:tc>
        <w:tc>
          <w:tcPr>
            <w:tcW w:type="dxa" w:w="1474"/>
            <w:vAlign w:val="top"/>
            <w:tcMar>
              <w:top w:w="60" w:type="dxa"/>
              <w:start w:w="60" w:type="dxa"/>
              <w:bottom w:w="60" w:type="dxa"/>
              <w:end w:w="60" w:type="dxa"/>
            </w:tcMar>
            <w:shd w:fill="E2F0D9"/>
          </w:tcPr>
          <w:p>
            <w:pPr>
              <w:spacing w:after="0" w:before="0"/>
            </w:pPr>
            <w:r/>
            <w:r>
              <w:rPr>
                <w:rFonts w:ascii="Aptos" w:hAnsi="Aptos"/>
                <w:b/>
                <w:sz w:val="13"/>
              </w:rPr>
              <w:t>CONFORME</w:t>
            </w:r>
          </w:p>
        </w:tc>
        <w:tc>
          <w:tcPr>
            <w:tcW w:type="dxa" w:w="2948"/>
            <w:vAlign w:val="top"/>
            <w:tcMar>
              <w:top w:w="60" w:type="dxa"/>
              <w:start w:w="60" w:type="dxa"/>
              <w:bottom w:w="60" w:type="dxa"/>
              <w:end w:w="60" w:type="dxa"/>
            </w:tcMar>
          </w:tcPr>
          <w:p>
            <w:pPr>
              <w:spacing w:after="0" w:before="0"/>
            </w:pPr>
            <w:r/>
            <w:r>
              <w:rPr>
                <w:rFonts w:ascii="Aptos" w:hAnsi="Aptos"/>
                <w:b w:val="0"/>
                <w:sz w:val="13"/>
              </w:rPr>
              <w:t>REQ-DUP-005/008 et architecture portabilité existante.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REQ-TPL-006</w:t>
            </w:r>
          </w:p>
        </w:tc>
        <w:tc>
          <w:tcPr>
            <w:tcW w:type="dxa" w:w="4535"/>
            <w:vAlign w:val="top"/>
            <w:tcMar>
              <w:top w:w="60" w:type="dxa"/>
              <w:start w:w="60" w:type="dxa"/>
              <w:bottom w:w="60" w:type="dxa"/>
              <w:end w:w="60" w:type="dxa"/>
            </w:tcMar>
          </w:tcPr>
          <w:p>
            <w:pPr>
              <w:spacing w:after="0" w:before="0"/>
            </w:pPr>
            <w:r/>
            <w:r>
              <w:rPr>
                <w:rFonts w:ascii="Aptos" w:hAnsi="Aptos"/>
                <w:b w:val="0"/>
                <w:sz w:val="13"/>
              </w:rPr>
              <w:t>Validation capacités — Un template incompatible avec les capacités/limites Discord ne peut pas être appliqué.</w:t>
            </w:r>
          </w:p>
        </w:tc>
        <w:tc>
          <w:tcPr>
            <w:tcW w:type="dxa" w:w="4082"/>
            <w:vAlign w:val="top"/>
            <w:tcMar>
              <w:top w:w="60" w:type="dxa"/>
              <w:start w:w="60" w:type="dxa"/>
              <w:bottom w:w="60" w:type="dxa"/>
              <w:end w:w="60" w:type="dxa"/>
            </w:tcMar>
          </w:tcPr>
          <w:p>
            <w:pPr>
              <w:spacing w:after="0" w:before="0"/>
            </w:pPr>
            <w:r/>
            <w:r>
              <w:rPr>
                <w:rFonts w:ascii="Aptos" w:hAnsi="Aptos"/>
                <w:b w:val="0"/>
                <w:sz w:val="13"/>
              </w:rPr>
              <w:t>Preflight bloque avant mutation.</w:t>
            </w:r>
          </w:p>
        </w:tc>
        <w:tc>
          <w:tcPr>
            <w:tcW w:type="dxa" w:w="1701"/>
            <w:vAlign w:val="top"/>
            <w:tcMar>
              <w:top w:w="60" w:type="dxa"/>
              <w:start w:w="60" w:type="dxa"/>
              <w:bottom w:w="60" w:type="dxa"/>
              <w:end w:w="60" w:type="dxa"/>
            </w:tcMar>
          </w:tcPr>
          <w:p>
            <w:pPr>
              <w:spacing w:after="0" w:before="0"/>
            </w:pPr>
            <w:r/>
            <w:r>
              <w:rPr>
                <w:rFonts w:ascii="Aptos" w:hAnsi="Aptos"/>
                <w:b w:val="0"/>
                <w:sz w:val="13"/>
              </w:rPr>
              <w:t>REF-FONC §25 + décisions produit</w:t>
            </w:r>
          </w:p>
        </w:tc>
        <w:tc>
          <w:tcPr>
            <w:tcW w:type="dxa" w:w="1474"/>
            <w:vAlign w:val="top"/>
            <w:tcMar>
              <w:top w:w="60" w:type="dxa"/>
              <w:start w:w="60" w:type="dxa"/>
              <w:bottom w:w="60" w:type="dxa"/>
              <w:end w:w="60" w:type="dxa"/>
            </w:tcMar>
            <w:shd w:fill="E2F0D9"/>
          </w:tcPr>
          <w:p>
            <w:pPr>
              <w:spacing w:after="0" w:before="0"/>
            </w:pPr>
            <w:r/>
            <w:r>
              <w:rPr>
                <w:rFonts w:ascii="Aptos" w:hAnsi="Aptos"/>
                <w:b/>
                <w:sz w:val="13"/>
              </w:rPr>
              <w:t>CONFORME</w:t>
            </w:r>
          </w:p>
        </w:tc>
        <w:tc>
          <w:tcPr>
            <w:tcW w:type="dxa" w:w="2948"/>
            <w:vAlign w:val="top"/>
            <w:tcMar>
              <w:top w:w="60" w:type="dxa"/>
              <w:start w:w="60" w:type="dxa"/>
              <w:bottom w:w="60" w:type="dxa"/>
              <w:end w:w="60" w:type="dxa"/>
            </w:tcMar>
          </w:tcPr>
          <w:p>
            <w:pPr>
              <w:spacing w:after="0" w:before="0"/>
            </w:pPr>
            <w:r/>
            <w:r>
              <w:rPr>
                <w:rFonts w:ascii="Aptos" w:hAnsi="Aptos"/>
                <w:b w:val="0"/>
                <w:sz w:val="13"/>
              </w:rPr>
              <w:t>REQ-DUP-006 + planning preflight.</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REQ-TPL-007</w:t>
            </w:r>
          </w:p>
        </w:tc>
        <w:tc>
          <w:tcPr>
            <w:tcW w:type="dxa" w:w="4535"/>
            <w:vAlign w:val="top"/>
            <w:tcMar>
              <w:top w:w="60" w:type="dxa"/>
              <w:start w:w="60" w:type="dxa"/>
              <w:bottom w:w="60" w:type="dxa"/>
              <w:end w:w="60" w:type="dxa"/>
            </w:tcMar>
          </w:tcPr>
          <w:p>
            <w:pPr>
              <w:spacing w:after="0" w:before="0"/>
            </w:pPr>
            <w:r/>
            <w:r>
              <w:rPr>
                <w:rFonts w:ascii="Aptos" w:hAnsi="Aptos"/>
                <w:b w:val="0"/>
                <w:sz w:val="13"/>
              </w:rPr>
              <w:t>Policies en brouillon — Un template peut inclure des définitions de Policies, mais les bindings/activations sensibles exigent mapping et confirmation.</w:t>
            </w:r>
          </w:p>
        </w:tc>
        <w:tc>
          <w:tcPr>
            <w:tcW w:type="dxa" w:w="4082"/>
            <w:vAlign w:val="top"/>
            <w:tcMar>
              <w:top w:w="60" w:type="dxa"/>
              <w:start w:w="60" w:type="dxa"/>
              <w:bottom w:w="60" w:type="dxa"/>
              <w:end w:w="60" w:type="dxa"/>
            </w:tcMar>
          </w:tcPr>
          <w:p>
            <w:pPr>
              <w:spacing w:after="0" w:before="0"/>
            </w:pPr>
            <w:r/>
            <w:r>
              <w:rPr>
                <w:rFonts w:ascii="Aptos" w:hAnsi="Aptos"/>
                <w:b w:val="0"/>
                <w:sz w:val="13"/>
              </w:rPr>
              <w:t>Aucune activation cross-tenant ou binding implicite.</w:t>
            </w:r>
          </w:p>
        </w:tc>
        <w:tc>
          <w:tcPr>
            <w:tcW w:type="dxa" w:w="1701"/>
            <w:vAlign w:val="top"/>
            <w:tcMar>
              <w:top w:w="60" w:type="dxa"/>
              <w:start w:w="60" w:type="dxa"/>
              <w:bottom w:w="60" w:type="dxa"/>
              <w:end w:w="60" w:type="dxa"/>
            </w:tcMar>
          </w:tcPr>
          <w:p>
            <w:pPr>
              <w:spacing w:after="0" w:before="0"/>
            </w:pPr>
            <w:r/>
            <w:r>
              <w:rPr>
                <w:rFonts w:ascii="Aptos" w:hAnsi="Aptos"/>
                <w:b w:val="0"/>
                <w:sz w:val="13"/>
              </w:rPr>
              <w:t>REF-FONC §25 + décisions produit</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REQ-DUP-019 couvre portabilité de définitions; moteur générique de Policy absent.</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REQ-TPL-008</w:t>
            </w:r>
          </w:p>
        </w:tc>
        <w:tc>
          <w:tcPr>
            <w:tcW w:type="dxa" w:w="4535"/>
            <w:vAlign w:val="top"/>
            <w:tcMar>
              <w:top w:w="60" w:type="dxa"/>
              <w:start w:w="60" w:type="dxa"/>
              <w:bottom w:w="60" w:type="dxa"/>
              <w:end w:w="60" w:type="dxa"/>
            </w:tcMar>
          </w:tcPr>
          <w:p>
            <w:pPr>
              <w:spacing w:after="0" w:before="0"/>
            </w:pPr>
            <w:r/>
            <w:r>
              <w:rPr>
                <w:rFonts w:ascii="Aptos" w:hAnsi="Aptos"/>
                <w:b w:val="0"/>
                <w:sz w:val="13"/>
              </w:rPr>
              <w:t>Bibliothèque privée — Les templates privés doivent être isolés par tenant/utilisateur selon leur portée.</w:t>
            </w:r>
          </w:p>
        </w:tc>
        <w:tc>
          <w:tcPr>
            <w:tcW w:type="dxa" w:w="4082"/>
            <w:vAlign w:val="top"/>
            <w:tcMar>
              <w:top w:w="60" w:type="dxa"/>
              <w:start w:w="60" w:type="dxa"/>
              <w:bottom w:w="60" w:type="dxa"/>
              <w:end w:w="60" w:type="dxa"/>
            </w:tcMar>
          </w:tcPr>
          <w:p>
            <w:pPr>
              <w:spacing w:after="0" w:before="0"/>
            </w:pPr>
            <w:r/>
            <w:r>
              <w:rPr>
                <w:rFonts w:ascii="Aptos" w:hAnsi="Aptos"/>
                <w:b w:val="0"/>
                <w:sz w:val="13"/>
              </w:rPr>
              <w:t>RLS et ACL testées.</w:t>
            </w:r>
          </w:p>
        </w:tc>
        <w:tc>
          <w:tcPr>
            <w:tcW w:type="dxa" w:w="1701"/>
            <w:vAlign w:val="top"/>
            <w:tcMar>
              <w:top w:w="60" w:type="dxa"/>
              <w:start w:w="60" w:type="dxa"/>
              <w:bottom w:w="60" w:type="dxa"/>
              <w:end w:w="60" w:type="dxa"/>
            </w:tcMar>
          </w:tcPr>
          <w:p>
            <w:pPr>
              <w:spacing w:after="0" w:before="0"/>
            </w:pPr>
            <w:r/>
            <w:r>
              <w:rPr>
                <w:rFonts w:ascii="Aptos" w:hAnsi="Aptos"/>
                <w:b w:val="0"/>
                <w:sz w:val="13"/>
              </w:rPr>
              <w:t>REF-FONC §25 + décisions produit</w:t>
            </w:r>
          </w:p>
        </w:tc>
        <w:tc>
          <w:tcPr>
            <w:tcW w:type="dxa" w:w="1474"/>
            <w:vAlign w:val="top"/>
            <w:tcMar>
              <w:top w:w="60" w:type="dxa"/>
              <w:start w:w="60" w:type="dxa"/>
              <w:bottom w:w="60" w:type="dxa"/>
              <w:end w:w="60" w:type="dxa"/>
            </w:tcMar>
            <w:shd w:fill="E7E6E6"/>
          </w:tcPr>
          <w:p>
            <w:pPr>
              <w:spacing w:after="0" w:before="0"/>
            </w:pPr>
            <w:r/>
            <w:r>
              <w:rPr>
                <w:rFonts w:ascii="Aptos" w:hAnsi="Aptos"/>
                <w:b/>
                <w:sz w:val="13"/>
              </w:rPr>
              <w:t>NON DÉMONTRÉ</w:t>
            </w:r>
          </w:p>
        </w:tc>
        <w:tc>
          <w:tcPr>
            <w:tcW w:type="dxa" w:w="2948"/>
            <w:vAlign w:val="top"/>
            <w:tcMar>
              <w:top w:w="60" w:type="dxa"/>
              <w:start w:w="60" w:type="dxa"/>
              <w:bottom w:w="60" w:type="dxa"/>
              <w:end w:w="60" w:type="dxa"/>
            </w:tcMar>
          </w:tcPr>
          <w:p>
            <w:pPr>
              <w:spacing w:after="0" w:before="0"/>
            </w:pPr>
            <w:r/>
            <w:r>
              <w:rPr>
                <w:rFonts w:ascii="Aptos" w:hAnsi="Aptos"/>
                <w:b w:val="0"/>
                <w:sz w:val="13"/>
              </w:rPr>
              <w:t>Traceabilité indique REQ-TEN-008 vérifié; non réaudité indépendamment.</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REQ-TPL-009</w:t>
            </w:r>
          </w:p>
        </w:tc>
        <w:tc>
          <w:tcPr>
            <w:tcW w:type="dxa" w:w="4535"/>
            <w:vAlign w:val="top"/>
            <w:tcMar>
              <w:top w:w="60" w:type="dxa"/>
              <w:start w:w="60" w:type="dxa"/>
              <w:bottom w:w="60" w:type="dxa"/>
              <w:end w:w="60" w:type="dxa"/>
            </w:tcMar>
          </w:tcPr>
          <w:p>
            <w:pPr>
              <w:spacing w:after="0" w:before="0"/>
            </w:pPr>
            <w:r/>
            <w:r>
              <w:rPr>
                <w:rFonts w:ascii="Aptos" w:hAnsi="Aptos"/>
                <w:b w:val="0"/>
                <w:sz w:val="13"/>
              </w:rPr>
              <w:t>Version de template — Les templates publiés doivent être versionnés pour rendre les plans reproductibles.</w:t>
            </w:r>
          </w:p>
        </w:tc>
        <w:tc>
          <w:tcPr>
            <w:tcW w:type="dxa" w:w="4082"/>
            <w:vAlign w:val="top"/>
            <w:tcMar>
              <w:top w:w="60" w:type="dxa"/>
              <w:start w:w="60" w:type="dxa"/>
              <w:bottom w:w="60" w:type="dxa"/>
              <w:end w:w="60" w:type="dxa"/>
            </w:tcMar>
          </w:tcPr>
          <w:p>
            <w:pPr>
              <w:spacing w:after="0" w:before="0"/>
            </w:pPr>
            <w:r/>
            <w:r>
              <w:rPr>
                <w:rFonts w:ascii="Aptos" w:hAnsi="Aptos"/>
                <w:b w:val="0"/>
                <w:sz w:val="13"/>
              </w:rPr>
              <w:t>Une application enregistre template_id + version/hash.</w:t>
            </w:r>
          </w:p>
        </w:tc>
        <w:tc>
          <w:tcPr>
            <w:tcW w:type="dxa" w:w="1701"/>
            <w:vAlign w:val="top"/>
            <w:tcMar>
              <w:top w:w="60" w:type="dxa"/>
              <w:start w:w="60" w:type="dxa"/>
              <w:bottom w:w="60" w:type="dxa"/>
              <w:end w:w="60" w:type="dxa"/>
            </w:tcMar>
          </w:tcPr>
          <w:p>
            <w:pPr>
              <w:spacing w:after="0" w:before="0"/>
            </w:pPr>
            <w:r/>
            <w:r>
              <w:rPr>
                <w:rFonts w:ascii="Aptos" w:hAnsi="Aptos"/>
                <w:b w:val="0"/>
                <w:sz w:val="13"/>
              </w:rPr>
              <w:t>REF-FONC §25 + décisions produit</w:t>
            </w:r>
          </w:p>
        </w:tc>
        <w:tc>
          <w:tcPr>
            <w:tcW w:type="dxa" w:w="1474"/>
            <w:vAlign w:val="top"/>
            <w:tcMar>
              <w:top w:w="60" w:type="dxa"/>
              <w:start w:w="60" w:type="dxa"/>
              <w:bottom w:w="60" w:type="dxa"/>
              <w:end w:w="60" w:type="dxa"/>
            </w:tcMar>
            <w:shd w:fill="E7E6E6"/>
          </w:tcPr>
          <w:p>
            <w:pPr>
              <w:spacing w:after="0" w:before="0"/>
            </w:pPr>
            <w:r/>
            <w:r>
              <w:rPr>
                <w:rFonts w:ascii="Aptos" w:hAnsi="Aptos"/>
                <w:b/>
                <w:sz w:val="13"/>
              </w:rPr>
              <w:t>NON DÉMONTRÉ</w:t>
            </w:r>
          </w:p>
        </w:tc>
        <w:tc>
          <w:tcPr>
            <w:tcW w:type="dxa" w:w="2948"/>
            <w:vAlign w:val="top"/>
            <w:tcMar>
              <w:top w:w="60" w:type="dxa"/>
              <w:start w:w="60" w:type="dxa"/>
              <w:bottom w:w="60" w:type="dxa"/>
              <w:end w:w="60" w:type="dxa"/>
            </w:tcMar>
          </w:tcPr>
          <w:p>
            <w:pPr>
              <w:spacing w:after="0" w:before="0"/>
            </w:pPr>
            <w:r/>
            <w:r>
              <w:rPr>
                <w:rFonts w:ascii="Aptos" w:hAnsi="Aptos"/>
                <w:b w:val="0"/>
                <w:sz w:val="13"/>
              </w:rPr>
              <w:t>Pas de preuve indépendante suffisante.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REQ-TPL-010</w:t>
            </w:r>
          </w:p>
        </w:tc>
        <w:tc>
          <w:tcPr>
            <w:tcW w:type="dxa" w:w="4535"/>
            <w:vAlign w:val="top"/>
            <w:tcMar>
              <w:top w:w="60" w:type="dxa"/>
              <w:start w:w="60" w:type="dxa"/>
              <w:bottom w:w="60" w:type="dxa"/>
              <w:end w:w="60" w:type="dxa"/>
            </w:tcMar>
          </w:tcPr>
          <w:p>
            <w:pPr>
              <w:spacing w:after="0" w:before="0"/>
            </w:pPr>
            <w:r/>
            <w:r>
              <w:rPr>
                <w:rFonts w:ascii="Aptos" w:hAnsi="Aptos"/>
                <w:b w:val="0"/>
                <w:sz w:val="13"/>
              </w:rPr>
              <w:t>Même pipeline — Wizard, template, import et drag/clonage doivent converger vers les mêmes primitives de plan.</w:t>
            </w:r>
          </w:p>
        </w:tc>
        <w:tc>
          <w:tcPr>
            <w:tcW w:type="dxa" w:w="4082"/>
            <w:vAlign w:val="top"/>
            <w:tcMar>
              <w:top w:w="60" w:type="dxa"/>
              <w:start w:w="60" w:type="dxa"/>
              <w:bottom w:w="60" w:type="dxa"/>
              <w:end w:w="60" w:type="dxa"/>
            </w:tcMar>
          </w:tcPr>
          <w:p>
            <w:pPr>
              <w:spacing w:after="0" w:before="0"/>
            </w:pPr>
            <w:r/>
            <w:r>
              <w:rPr>
                <w:rFonts w:ascii="Aptos" w:hAnsi="Aptos"/>
                <w:b w:val="0"/>
                <w:sz w:val="13"/>
              </w:rPr>
              <w:t>Aucun “fast path” de mutation directe.</w:t>
            </w:r>
          </w:p>
        </w:tc>
        <w:tc>
          <w:tcPr>
            <w:tcW w:type="dxa" w:w="1701"/>
            <w:vAlign w:val="top"/>
            <w:tcMar>
              <w:top w:w="60" w:type="dxa"/>
              <w:start w:w="60" w:type="dxa"/>
              <w:bottom w:w="60" w:type="dxa"/>
              <w:end w:w="60" w:type="dxa"/>
            </w:tcMar>
          </w:tcPr>
          <w:p>
            <w:pPr>
              <w:spacing w:after="0" w:before="0"/>
            </w:pPr>
            <w:r/>
            <w:r>
              <w:rPr>
                <w:rFonts w:ascii="Aptos" w:hAnsi="Aptos"/>
                <w:b w:val="0"/>
                <w:sz w:val="13"/>
              </w:rPr>
              <w:t>REF-FONC §25 + décisions produit</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Portabilité converge sur planning; Wizard absent.</w:t>
            </w:r>
          </w:p>
        </w:tc>
      </w:tr>
    </w:tbl>
    <w:p/>
    <w:p>
      <w:pPr>
        <w:pStyle w:val="Heading2"/>
      </w:pPr>
      <w:r>
        <w:t>5.6 Réutilisation packages/outils</w:t>
      </w:r>
    </w:p>
    <w:tbl>
      <w:tblPr>
        <w:tblW w:type="auto" w:w="0"/>
        <w:jc w:val="center"/>
        <w:tblLayout w:type="fixed"/>
        <w:tblLook w:firstColumn="1" w:firstRow="1" w:lastColumn="0" w:lastRow="0" w:noHBand="0" w:noVBand="1" w:val="04A0"/>
      </w:tblPr>
      <w:tblGrid>
        <w:gridCol w:w="1247"/>
        <w:gridCol w:w="4535"/>
        <w:gridCol w:w="4082"/>
        <w:gridCol w:w="1701"/>
        <w:gridCol w:w="1474"/>
        <w:gridCol w:w="2948"/>
      </w:tblGrid>
      <w:tr>
        <w:trPr>
          <w:tblHeader w:val="true"/>
          <w:cantSplit/>
        </w:trPr>
        <w:tc>
          <w:tcPr>
            <w:tcW w:type="dxa" w:w="2580"/>
            <w:vAlign w:val="top"/>
            <w:tcMar>
              <w:top w:w="60" w:type="dxa"/>
              <w:start w:w="60" w:type="dxa"/>
              <w:bottom w:w="60" w:type="dxa"/>
              <w:end w:w="60" w:type="dxa"/>
            </w:tcMar>
            <w:shd w:fill="D9EAF7"/>
          </w:tcPr>
          <w:p>
            <w:pPr>
              <w:spacing w:after="0" w:before="0"/>
            </w:pPr>
            <w:r/>
            <w:r>
              <w:rPr>
                <w:rFonts w:ascii="Aptos" w:hAnsi="Aptos"/>
                <w:b/>
                <w:sz w:val="14"/>
              </w:rPr>
              <w:t>ID</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Exigence atomique</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Critère d’acceptation</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Source</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Statut</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Preuve / écart</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REQ-REUSE-001</w:t>
            </w:r>
          </w:p>
        </w:tc>
        <w:tc>
          <w:tcPr>
            <w:tcW w:type="dxa" w:w="4535"/>
            <w:vAlign w:val="top"/>
            <w:tcMar>
              <w:top w:w="60" w:type="dxa"/>
              <w:start w:w="60" w:type="dxa"/>
              <w:bottom w:w="60" w:type="dxa"/>
              <w:end w:w="60" w:type="dxa"/>
            </w:tcMar>
          </w:tcPr>
          <w:p>
            <w:pPr>
              <w:spacing w:after="0" w:before="0"/>
            </w:pPr>
            <w:r/>
            <w:r>
              <w:rPr>
                <w:rFonts w:ascii="Aptos" w:hAnsi="Aptos"/>
                <w:b w:val="0"/>
                <w:sz w:val="13"/>
              </w:rPr>
              <w:t>Principe de réutilisation — Ne pas redévelopper une fonctionnalité générique déjà correctement résolue par une bibliothèque/outil mature, maintenu et compatible.</w:t>
            </w:r>
          </w:p>
        </w:tc>
        <w:tc>
          <w:tcPr>
            <w:tcW w:type="dxa" w:w="4082"/>
            <w:vAlign w:val="top"/>
            <w:tcMar>
              <w:top w:w="60" w:type="dxa"/>
              <w:start w:w="60" w:type="dxa"/>
              <w:bottom w:w="60" w:type="dxa"/>
              <w:end w:w="60" w:type="dxa"/>
            </w:tcMar>
          </w:tcPr>
          <w:p>
            <w:pPr>
              <w:spacing w:after="0" w:before="0"/>
            </w:pPr>
            <w:r/>
            <w:r>
              <w:rPr>
                <w:rFonts w:ascii="Aptos" w:hAnsi="Aptos"/>
                <w:b w:val="0"/>
                <w:sz w:val="13"/>
              </w:rPr>
              <w:t>Toute décision de build générique est justifiée par une courte évaluation buy/use/build.</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d’architecture produit</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Architecture recommande dnd-kit, Radix/shadcn, i18next, discord.py, etc.; processus formel non démontré.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REQ-REUSE-002</w:t>
            </w:r>
          </w:p>
        </w:tc>
        <w:tc>
          <w:tcPr>
            <w:tcW w:type="dxa" w:w="4535"/>
            <w:vAlign w:val="top"/>
            <w:tcMar>
              <w:top w:w="60" w:type="dxa"/>
              <w:start w:w="60" w:type="dxa"/>
              <w:bottom w:w="60" w:type="dxa"/>
              <w:end w:w="60" w:type="dxa"/>
            </w:tcMar>
          </w:tcPr>
          <w:p>
            <w:pPr>
              <w:spacing w:after="0" w:before="0"/>
            </w:pPr>
            <w:r/>
            <w:r>
              <w:rPr>
                <w:rFonts w:ascii="Aptos" w:hAnsi="Aptos"/>
                <w:b w:val="0"/>
                <w:sz w:val="13"/>
              </w:rPr>
              <w:t>Recherche préalable — Avant développement d’un composant générique, rechercher des solutions existantes adaptées.</w:t>
            </w:r>
          </w:p>
        </w:tc>
        <w:tc>
          <w:tcPr>
            <w:tcW w:type="dxa" w:w="4082"/>
            <w:vAlign w:val="top"/>
            <w:tcMar>
              <w:top w:w="60" w:type="dxa"/>
              <w:start w:w="60" w:type="dxa"/>
              <w:bottom w:w="60" w:type="dxa"/>
              <w:end w:w="60" w:type="dxa"/>
            </w:tcMar>
          </w:tcPr>
          <w:p>
            <w:pPr>
              <w:spacing w:after="0" w:before="0"/>
            </w:pPr>
            <w:r/>
            <w:r>
              <w:rPr>
                <w:rFonts w:ascii="Aptos" w:hAnsi="Aptos"/>
                <w:b w:val="0"/>
                <w:sz w:val="13"/>
              </w:rPr>
              <w:t>Trace ADR/issue des options évaluées pour composants significatifs.</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d’architecture produit</w:t>
            </w:r>
          </w:p>
        </w:tc>
        <w:tc>
          <w:tcPr>
            <w:tcW w:type="dxa" w:w="1474"/>
            <w:vAlign w:val="top"/>
            <w:tcMar>
              <w:top w:w="60" w:type="dxa"/>
              <w:start w:w="60" w:type="dxa"/>
              <w:bottom w:w="60" w:type="dxa"/>
              <w:end w:w="60" w:type="dxa"/>
            </w:tcMar>
            <w:shd w:fill="E7E6E6"/>
          </w:tcPr>
          <w:p>
            <w:pPr>
              <w:spacing w:after="0" w:before="0"/>
            </w:pPr>
            <w:r/>
            <w:r>
              <w:rPr>
                <w:rFonts w:ascii="Aptos" w:hAnsi="Aptos"/>
                <w:b/>
                <w:sz w:val="13"/>
              </w:rPr>
              <w:t>NON DÉMONTRÉ</w:t>
            </w:r>
          </w:p>
        </w:tc>
        <w:tc>
          <w:tcPr>
            <w:tcW w:type="dxa" w:w="2948"/>
            <w:vAlign w:val="top"/>
            <w:tcMar>
              <w:top w:w="60" w:type="dxa"/>
              <w:start w:w="60" w:type="dxa"/>
              <w:bottom w:w="60" w:type="dxa"/>
              <w:end w:w="60" w:type="dxa"/>
            </w:tcMar>
          </w:tcPr>
          <w:p>
            <w:pPr>
              <w:spacing w:after="0" w:before="0"/>
            </w:pPr>
            <w:r/>
            <w:r>
              <w:rPr>
                <w:rFonts w:ascii="Aptos" w:hAnsi="Aptos"/>
                <w:b w:val="0"/>
                <w:sz w:val="13"/>
              </w:rPr>
              <w:t>Pas de gate formel trouvé.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REQ-REUSE-003</w:t>
            </w:r>
          </w:p>
        </w:tc>
        <w:tc>
          <w:tcPr>
            <w:tcW w:type="dxa" w:w="4535"/>
            <w:vAlign w:val="top"/>
            <w:tcMar>
              <w:top w:w="60" w:type="dxa"/>
              <w:start w:w="60" w:type="dxa"/>
              <w:bottom w:w="60" w:type="dxa"/>
              <w:end w:w="60" w:type="dxa"/>
            </w:tcMar>
          </w:tcPr>
          <w:p>
            <w:pPr>
              <w:spacing w:after="0" w:before="0"/>
            </w:pPr>
            <w:r/>
            <w:r>
              <w:rPr>
                <w:rFonts w:ascii="Aptos" w:hAnsi="Aptos"/>
                <w:b w:val="0"/>
                <w:sz w:val="13"/>
              </w:rPr>
              <w:t>Maintenance — Une dépendance retenue doit avoir une maintenance/activité compatible avec le risque.</w:t>
            </w:r>
          </w:p>
        </w:tc>
        <w:tc>
          <w:tcPr>
            <w:tcW w:type="dxa" w:w="4082"/>
            <w:vAlign w:val="top"/>
            <w:tcMar>
              <w:top w:w="60" w:type="dxa"/>
              <w:start w:w="60" w:type="dxa"/>
              <w:bottom w:w="60" w:type="dxa"/>
              <w:end w:w="60" w:type="dxa"/>
            </w:tcMar>
          </w:tcPr>
          <w:p>
            <w:pPr>
              <w:spacing w:after="0" w:before="0"/>
            </w:pPr>
            <w:r/>
            <w:r>
              <w:rPr>
                <w:rFonts w:ascii="Aptos" w:hAnsi="Aptos"/>
                <w:b w:val="0"/>
                <w:sz w:val="13"/>
              </w:rPr>
              <w:t>Critère documenté: cadence, bus factor, compatibilité runtime.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d’architecture produit</w:t>
            </w:r>
          </w:p>
        </w:tc>
        <w:tc>
          <w:tcPr>
            <w:tcW w:type="dxa" w:w="1474"/>
            <w:vAlign w:val="top"/>
            <w:tcMar>
              <w:top w:w="60" w:type="dxa"/>
              <w:start w:w="60" w:type="dxa"/>
              <w:bottom w:w="60" w:type="dxa"/>
              <w:end w:w="60" w:type="dxa"/>
            </w:tcMar>
            <w:shd w:fill="E7E6E6"/>
          </w:tcPr>
          <w:p>
            <w:pPr>
              <w:spacing w:after="0" w:before="0"/>
            </w:pPr>
            <w:r/>
            <w:r>
              <w:rPr>
                <w:rFonts w:ascii="Aptos" w:hAnsi="Aptos"/>
                <w:b/>
                <w:sz w:val="13"/>
              </w:rPr>
              <w:t>NON DÉMONTRÉ</w:t>
            </w:r>
          </w:p>
        </w:tc>
        <w:tc>
          <w:tcPr>
            <w:tcW w:type="dxa" w:w="2948"/>
            <w:vAlign w:val="top"/>
            <w:tcMar>
              <w:top w:w="60" w:type="dxa"/>
              <w:start w:w="60" w:type="dxa"/>
              <w:bottom w:w="60" w:type="dxa"/>
              <w:end w:w="60" w:type="dxa"/>
            </w:tcMar>
          </w:tcPr>
          <w:p>
            <w:pPr>
              <w:spacing w:after="0" w:before="0"/>
            </w:pPr>
            <w:r/>
            <w:r>
              <w:rPr>
                <w:rFonts w:ascii="Aptos" w:hAnsi="Aptos"/>
                <w:b w:val="0"/>
                <w:sz w:val="13"/>
              </w:rPr>
              <w:t>Pas de checklist formelle trouvée.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REQ-REUSE-004</w:t>
            </w:r>
          </w:p>
        </w:tc>
        <w:tc>
          <w:tcPr>
            <w:tcW w:type="dxa" w:w="4535"/>
            <w:vAlign w:val="top"/>
            <w:tcMar>
              <w:top w:w="60" w:type="dxa"/>
              <w:start w:w="60" w:type="dxa"/>
              <w:bottom w:w="60" w:type="dxa"/>
              <w:end w:w="60" w:type="dxa"/>
            </w:tcMar>
          </w:tcPr>
          <w:p>
            <w:pPr>
              <w:spacing w:after="0" w:before="0"/>
            </w:pPr>
            <w:r/>
            <w:r>
              <w:rPr>
                <w:rFonts w:ascii="Aptos" w:hAnsi="Aptos"/>
                <w:b w:val="0"/>
                <w:sz w:val="13"/>
              </w:rPr>
              <w:t>Licence — La licence doit être compatible avec le projet avant intégration.</w:t>
            </w:r>
          </w:p>
        </w:tc>
        <w:tc>
          <w:tcPr>
            <w:tcW w:type="dxa" w:w="4082"/>
            <w:vAlign w:val="top"/>
            <w:tcMar>
              <w:top w:w="60" w:type="dxa"/>
              <w:start w:w="60" w:type="dxa"/>
              <w:bottom w:w="60" w:type="dxa"/>
              <w:end w:w="60" w:type="dxa"/>
            </w:tcMar>
          </w:tcPr>
          <w:p>
            <w:pPr>
              <w:spacing w:after="0" w:before="0"/>
            </w:pPr>
            <w:r/>
            <w:r>
              <w:rPr>
                <w:rFonts w:ascii="Aptos" w:hAnsi="Aptos"/>
                <w:b w:val="0"/>
                <w:sz w:val="13"/>
              </w:rPr>
              <w:t>Licence et obligations documentées.</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d’architecture produit</w:t>
            </w:r>
          </w:p>
        </w:tc>
        <w:tc>
          <w:tcPr>
            <w:tcW w:type="dxa" w:w="1474"/>
            <w:vAlign w:val="top"/>
            <w:tcMar>
              <w:top w:w="60" w:type="dxa"/>
              <w:start w:w="60" w:type="dxa"/>
              <w:bottom w:w="60" w:type="dxa"/>
              <w:end w:w="60" w:type="dxa"/>
            </w:tcMar>
            <w:shd w:fill="E7E6E6"/>
          </w:tcPr>
          <w:p>
            <w:pPr>
              <w:spacing w:after="0" w:before="0"/>
            </w:pPr>
            <w:r/>
            <w:r>
              <w:rPr>
                <w:rFonts w:ascii="Aptos" w:hAnsi="Aptos"/>
                <w:b/>
                <w:sz w:val="13"/>
              </w:rPr>
              <w:t>NON DÉMONTRÉ</w:t>
            </w:r>
          </w:p>
        </w:tc>
        <w:tc>
          <w:tcPr>
            <w:tcW w:type="dxa" w:w="2948"/>
            <w:vAlign w:val="top"/>
            <w:tcMar>
              <w:top w:w="60" w:type="dxa"/>
              <w:start w:w="60" w:type="dxa"/>
              <w:bottom w:w="60" w:type="dxa"/>
              <w:end w:w="60" w:type="dxa"/>
            </w:tcMar>
          </w:tcPr>
          <w:p>
            <w:pPr>
              <w:spacing w:after="0" w:before="0"/>
            </w:pPr>
            <w:r/>
            <w:r>
              <w:rPr>
                <w:rFonts w:ascii="Aptos" w:hAnsi="Aptos"/>
                <w:b w:val="0"/>
                <w:sz w:val="13"/>
              </w:rPr>
              <w:t>Pas de gate formel trouvé.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REQ-REUSE-005</w:t>
            </w:r>
          </w:p>
        </w:tc>
        <w:tc>
          <w:tcPr>
            <w:tcW w:type="dxa" w:w="4535"/>
            <w:vAlign w:val="top"/>
            <w:tcMar>
              <w:top w:w="60" w:type="dxa"/>
              <w:start w:w="60" w:type="dxa"/>
              <w:bottom w:w="60" w:type="dxa"/>
              <w:end w:w="60" w:type="dxa"/>
            </w:tcMar>
          </w:tcPr>
          <w:p>
            <w:pPr>
              <w:spacing w:after="0" w:before="0"/>
            </w:pPr>
            <w:r/>
            <w:r>
              <w:rPr>
                <w:rFonts w:ascii="Aptos" w:hAnsi="Aptos"/>
                <w:b w:val="0"/>
                <w:sz w:val="13"/>
              </w:rPr>
              <w:t>Sécurité — Les dépendances à surface sensible doivent être évaluées côté sécurité.</w:t>
            </w:r>
          </w:p>
        </w:tc>
        <w:tc>
          <w:tcPr>
            <w:tcW w:type="dxa" w:w="4082"/>
            <w:vAlign w:val="top"/>
            <w:tcMar>
              <w:top w:w="60" w:type="dxa"/>
              <w:start w:w="60" w:type="dxa"/>
              <w:bottom w:w="60" w:type="dxa"/>
              <w:end w:w="60" w:type="dxa"/>
            </w:tcMar>
          </w:tcPr>
          <w:p>
            <w:pPr>
              <w:spacing w:after="0" w:before="0"/>
            </w:pPr>
            <w:r/>
            <w:r>
              <w:rPr>
                <w:rFonts w:ascii="Aptos" w:hAnsi="Aptos"/>
                <w:b w:val="0"/>
                <w:sz w:val="13"/>
              </w:rPr>
              <w:t>Version pinning, audit de vulnérabilités et politique de mise à jour.</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d’architecture produit</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uv.lock/npm audit et Stage10 existent; règle universelle non prouvée.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REQ-REUSE-006</w:t>
            </w:r>
          </w:p>
        </w:tc>
        <w:tc>
          <w:tcPr>
            <w:tcW w:type="dxa" w:w="4535"/>
            <w:vAlign w:val="top"/>
            <w:tcMar>
              <w:top w:w="60" w:type="dxa"/>
              <w:start w:w="60" w:type="dxa"/>
              <w:bottom w:w="60" w:type="dxa"/>
              <w:end w:w="60" w:type="dxa"/>
            </w:tcMar>
          </w:tcPr>
          <w:p>
            <w:pPr>
              <w:spacing w:after="0" w:before="0"/>
            </w:pPr>
            <w:r/>
            <w:r>
              <w:rPr>
                <w:rFonts w:ascii="Aptos" w:hAnsi="Aptos"/>
                <w:b w:val="0"/>
                <w:sz w:val="13"/>
              </w:rPr>
              <w:t>Adéquation — Une bibliothèque n’est retenue que si elle couvre le besoin sans tordre le modèle métier.</w:t>
            </w:r>
          </w:p>
        </w:tc>
        <w:tc>
          <w:tcPr>
            <w:tcW w:type="dxa" w:w="4082"/>
            <w:vAlign w:val="top"/>
            <w:tcMar>
              <w:top w:w="60" w:type="dxa"/>
              <w:start w:w="60" w:type="dxa"/>
              <w:bottom w:w="60" w:type="dxa"/>
              <w:end w:w="60" w:type="dxa"/>
            </w:tcMar>
          </w:tcPr>
          <w:p>
            <w:pPr>
              <w:spacing w:after="0" w:before="0"/>
            </w:pPr>
            <w:r/>
            <w:r>
              <w:rPr>
                <w:rFonts w:ascii="Aptos" w:hAnsi="Aptos"/>
                <w:b w:val="0"/>
                <w:sz w:val="13"/>
              </w:rPr>
              <w:t>Limites connues documentées; pas de dépendance pour contourner une contrainte fondamentale.</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d’architecture produit</w:t>
            </w:r>
          </w:p>
        </w:tc>
        <w:tc>
          <w:tcPr>
            <w:tcW w:type="dxa" w:w="1474"/>
            <w:vAlign w:val="top"/>
            <w:tcMar>
              <w:top w:w="60" w:type="dxa"/>
              <w:start w:w="60" w:type="dxa"/>
              <w:bottom w:w="60" w:type="dxa"/>
              <w:end w:w="60" w:type="dxa"/>
            </w:tcMar>
            <w:shd w:fill="E7E6E6"/>
          </w:tcPr>
          <w:p>
            <w:pPr>
              <w:spacing w:after="0" w:before="0"/>
            </w:pPr>
            <w:r/>
            <w:r>
              <w:rPr>
                <w:rFonts w:ascii="Aptos" w:hAnsi="Aptos"/>
                <w:b/>
                <w:sz w:val="13"/>
              </w:rPr>
              <w:t>NON DÉMONTRÉ</w:t>
            </w:r>
          </w:p>
        </w:tc>
        <w:tc>
          <w:tcPr>
            <w:tcW w:type="dxa" w:w="2948"/>
            <w:vAlign w:val="top"/>
            <w:tcMar>
              <w:top w:w="60" w:type="dxa"/>
              <w:start w:w="60" w:type="dxa"/>
              <w:bottom w:w="60" w:type="dxa"/>
              <w:end w:w="60" w:type="dxa"/>
            </w:tcMar>
          </w:tcPr>
          <w:p>
            <w:pPr>
              <w:spacing w:after="0" w:before="0"/>
            </w:pPr>
            <w:r/>
            <w:r>
              <w:rPr>
                <w:rFonts w:ascii="Aptos" w:hAnsi="Aptos"/>
                <w:b w:val="0"/>
                <w:sz w:val="13"/>
              </w:rPr>
              <w:t>Pas de dossier d’évaluation systématique.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REQ-REUSE-007</w:t>
            </w:r>
          </w:p>
        </w:tc>
        <w:tc>
          <w:tcPr>
            <w:tcW w:type="dxa" w:w="4535"/>
            <w:vAlign w:val="top"/>
            <w:tcMar>
              <w:top w:w="60" w:type="dxa"/>
              <w:start w:w="60" w:type="dxa"/>
              <w:bottom w:w="60" w:type="dxa"/>
              <w:end w:w="60" w:type="dxa"/>
            </w:tcMar>
          </w:tcPr>
          <w:p>
            <w:pPr>
              <w:spacing w:after="0" w:before="0"/>
            </w:pPr>
            <w:r/>
            <w:r>
              <w:rPr>
                <w:rFonts w:ascii="Aptos" w:hAnsi="Aptos"/>
                <w:b w:val="0"/>
                <w:sz w:val="13"/>
              </w:rPr>
              <w:t>Abstraction interne — Les bibliothèques structurantes doivent être encapsulées derrière une abstraction interne lorsque le couplage serait coûteux.</w:t>
            </w:r>
          </w:p>
        </w:tc>
        <w:tc>
          <w:tcPr>
            <w:tcW w:type="dxa" w:w="4082"/>
            <w:vAlign w:val="top"/>
            <w:tcMar>
              <w:top w:w="60" w:type="dxa"/>
              <w:start w:w="60" w:type="dxa"/>
              <w:bottom w:w="60" w:type="dxa"/>
              <w:end w:w="60" w:type="dxa"/>
            </w:tcMar>
          </w:tcPr>
          <w:p>
            <w:pPr>
              <w:spacing w:after="0" w:before="0"/>
            </w:pPr>
            <w:r/>
            <w:r>
              <w:rPr>
                <w:rFonts w:ascii="Aptos" w:hAnsi="Aptos"/>
                <w:b w:val="0"/>
                <w:sz w:val="13"/>
              </w:rPr>
              <w:t>Le domaine ne dépend pas directement du fournisseur pour les ports critiques.</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d’architecture produit</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discord.py et TranslationProvider sont abstraits; pratique à généraliser.</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REQ-REUSE-008</w:t>
            </w:r>
          </w:p>
        </w:tc>
        <w:tc>
          <w:tcPr>
            <w:tcW w:type="dxa" w:w="4535"/>
            <w:vAlign w:val="top"/>
            <w:tcMar>
              <w:top w:w="60" w:type="dxa"/>
              <w:start w:w="60" w:type="dxa"/>
              <w:bottom w:w="60" w:type="dxa"/>
              <w:end w:w="60" w:type="dxa"/>
            </w:tcMar>
          </w:tcPr>
          <w:p>
            <w:pPr>
              <w:spacing w:after="0" w:before="0"/>
            </w:pPr>
            <w:r/>
            <w:r>
              <w:rPr>
                <w:rFonts w:ascii="Aptos" w:hAnsi="Aptos"/>
                <w:b w:val="0"/>
                <w:sz w:val="13"/>
              </w:rPr>
              <w:t>Logique métier maison — Le code custom doit se concentrer sur la logique propre au produit.</w:t>
            </w:r>
          </w:p>
        </w:tc>
        <w:tc>
          <w:tcPr>
            <w:tcW w:type="dxa" w:w="4082"/>
            <w:vAlign w:val="top"/>
            <w:tcMar>
              <w:top w:w="60" w:type="dxa"/>
              <w:start w:w="60" w:type="dxa"/>
              <w:bottom w:w="60" w:type="dxa"/>
              <w:end w:w="60" w:type="dxa"/>
            </w:tcMar>
          </w:tcPr>
          <w:p>
            <w:pPr>
              <w:spacing w:after="0" w:before="0"/>
            </w:pPr>
            <w:r/>
            <w:r>
              <w:rPr>
                <w:rFonts w:ascii="Aptos" w:hAnsi="Aptos"/>
                <w:b w:val="0"/>
                <w:sz w:val="13"/>
              </w:rPr>
              <w:t>Permissions Discord, planning, mapping, policy semantics restent dans domaine/application.</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d’architecture produit</w:t>
            </w:r>
          </w:p>
        </w:tc>
        <w:tc>
          <w:tcPr>
            <w:tcW w:type="dxa" w:w="1474"/>
            <w:vAlign w:val="top"/>
            <w:tcMar>
              <w:top w:w="60" w:type="dxa"/>
              <w:start w:w="60" w:type="dxa"/>
              <w:bottom w:w="60" w:type="dxa"/>
              <w:end w:w="60" w:type="dxa"/>
            </w:tcMar>
            <w:shd w:fill="E2F0D9"/>
          </w:tcPr>
          <w:p>
            <w:pPr>
              <w:spacing w:after="0" w:before="0"/>
            </w:pPr>
            <w:r/>
            <w:r>
              <w:rPr>
                <w:rFonts w:ascii="Aptos" w:hAnsi="Aptos"/>
                <w:b/>
                <w:sz w:val="13"/>
              </w:rPr>
              <w:t>CONFORME</w:t>
            </w:r>
          </w:p>
        </w:tc>
        <w:tc>
          <w:tcPr>
            <w:tcW w:type="dxa" w:w="2948"/>
            <w:vAlign w:val="top"/>
            <w:tcMar>
              <w:top w:w="60" w:type="dxa"/>
              <w:start w:w="60" w:type="dxa"/>
              <w:bottom w:w="60" w:type="dxa"/>
              <w:end w:w="60" w:type="dxa"/>
            </w:tcMar>
          </w:tcPr>
          <w:p>
            <w:pPr>
              <w:spacing w:after="0" w:before="0"/>
            </w:pPr>
            <w:r/>
            <w:r>
              <w:rPr>
                <w:rFonts w:ascii="Aptos" w:hAnsi="Aptos"/>
                <w:b w:val="0"/>
                <w:sz w:val="13"/>
              </w:rPr>
              <w:t>Architecture en couches et moteur permissions/planning custom démontrés.</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REQ-REUSE-009</w:t>
            </w:r>
          </w:p>
        </w:tc>
        <w:tc>
          <w:tcPr>
            <w:tcW w:type="dxa" w:w="4535"/>
            <w:vAlign w:val="top"/>
            <w:tcMar>
              <w:top w:w="60" w:type="dxa"/>
              <w:start w:w="60" w:type="dxa"/>
              <w:bottom w:w="60" w:type="dxa"/>
              <w:end w:w="60" w:type="dxa"/>
            </w:tcMar>
          </w:tcPr>
          <w:p>
            <w:pPr>
              <w:spacing w:after="0" w:before="0"/>
            </w:pPr>
            <w:r/>
            <w:r>
              <w:rPr>
                <w:rFonts w:ascii="Aptos" w:hAnsi="Aptos"/>
                <w:b w:val="0"/>
                <w:sz w:val="13"/>
              </w:rPr>
              <w:t>UI générique — Sélecteurs emoji, DnD, arbres, dialogues, virtualisation et composants a11y doivent privilégier des bibliothèques éprouvées.</w:t>
            </w:r>
          </w:p>
        </w:tc>
        <w:tc>
          <w:tcPr>
            <w:tcW w:type="dxa" w:w="4082"/>
            <w:vAlign w:val="top"/>
            <w:tcMar>
              <w:top w:w="60" w:type="dxa"/>
              <w:start w:w="60" w:type="dxa"/>
              <w:bottom w:w="60" w:type="dxa"/>
              <w:end w:w="60" w:type="dxa"/>
            </w:tcMar>
          </w:tcPr>
          <w:p>
            <w:pPr>
              <w:spacing w:after="0" w:before="0"/>
            </w:pPr>
            <w:r/>
            <w:r>
              <w:rPr>
                <w:rFonts w:ascii="Aptos" w:hAnsi="Aptos"/>
                <w:b w:val="0"/>
                <w:sz w:val="13"/>
              </w:rPr>
              <w:t>Choix réutilisables et accessibles; pas de widget artisanal sans justification.</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d’architecture produit</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dnd-kit et primitives UI sont prévus/utilisés; emoji picker pas encore présent.</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REQ-REUSE-010</w:t>
            </w:r>
          </w:p>
        </w:tc>
        <w:tc>
          <w:tcPr>
            <w:tcW w:type="dxa" w:w="4535"/>
            <w:vAlign w:val="top"/>
            <w:tcMar>
              <w:top w:w="60" w:type="dxa"/>
              <w:start w:w="60" w:type="dxa"/>
              <w:bottom w:w="60" w:type="dxa"/>
              <w:end w:w="60" w:type="dxa"/>
            </w:tcMar>
          </w:tcPr>
          <w:p>
            <w:pPr>
              <w:spacing w:after="0" w:before="0"/>
            </w:pPr>
            <w:r/>
            <w:r>
              <w:rPr>
                <w:rFonts w:ascii="Aptos" w:hAnsi="Aptos"/>
                <w:b w:val="0"/>
                <w:sz w:val="13"/>
              </w:rPr>
              <w:t>Jobs/résilience — Queue, retry/backoff, locks et streams doivent réutiliser des primitives éprouvées derrière interfaces internes.</w:t>
            </w:r>
          </w:p>
        </w:tc>
        <w:tc>
          <w:tcPr>
            <w:tcW w:type="dxa" w:w="4082"/>
            <w:vAlign w:val="top"/>
            <w:tcMar>
              <w:top w:w="60" w:type="dxa"/>
              <w:start w:w="60" w:type="dxa"/>
              <w:bottom w:w="60" w:type="dxa"/>
              <w:end w:w="60" w:type="dxa"/>
            </w:tcMar>
          </w:tcPr>
          <w:p>
            <w:pPr>
              <w:spacing w:after="0" w:before="0"/>
            </w:pPr>
            <w:r/>
            <w:r>
              <w:rPr>
                <w:rFonts w:ascii="Aptos" w:hAnsi="Aptos"/>
                <w:b w:val="0"/>
                <w:sz w:val="13"/>
              </w:rPr>
              <w:t>Pas de protocole distribué ad hoc non testé si une primitive mature convient.</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d’architecture produit</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Redis/streams/locks et abstractions existent; audit exhaustif non réalisé.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REQ-REUSE-011</w:t>
            </w:r>
          </w:p>
        </w:tc>
        <w:tc>
          <w:tcPr>
            <w:tcW w:type="dxa" w:w="4535"/>
            <w:vAlign w:val="top"/>
            <w:tcMar>
              <w:top w:w="60" w:type="dxa"/>
              <w:start w:w="60" w:type="dxa"/>
              <w:bottom w:w="60" w:type="dxa"/>
              <w:end w:w="60" w:type="dxa"/>
            </w:tcMar>
          </w:tcPr>
          <w:p>
            <w:pPr>
              <w:spacing w:after="0" w:before="0"/>
            </w:pPr>
            <w:r/>
            <w:r>
              <w:rPr>
                <w:rFonts w:ascii="Aptos" w:hAnsi="Aptos"/>
                <w:b w:val="0"/>
                <w:sz w:val="13"/>
              </w:rPr>
              <w:t>Validation/règles — JSON schema/validation/rules expression doivent réutiliser des outils matures si adaptés.</w:t>
            </w:r>
          </w:p>
        </w:tc>
        <w:tc>
          <w:tcPr>
            <w:tcW w:type="dxa" w:w="4082"/>
            <w:vAlign w:val="top"/>
            <w:tcMar>
              <w:top w:w="60" w:type="dxa"/>
              <w:start w:w="60" w:type="dxa"/>
              <w:bottom w:w="60" w:type="dxa"/>
              <w:end w:w="60" w:type="dxa"/>
            </w:tcMar>
          </w:tcPr>
          <w:p>
            <w:pPr>
              <w:spacing w:after="0" w:before="0"/>
            </w:pPr>
            <w:r/>
            <w:r>
              <w:rPr>
                <w:rFonts w:ascii="Aptos" w:hAnsi="Aptos"/>
                <w:b w:val="0"/>
                <w:sz w:val="13"/>
              </w:rPr>
              <w:t>L’équipe compare explicitement avant de bâtir un DSL maison.</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d’architecture produit</w:t>
            </w:r>
          </w:p>
        </w:tc>
        <w:tc>
          <w:tcPr>
            <w:tcW w:type="dxa" w:w="1474"/>
            <w:vAlign w:val="top"/>
            <w:tcMar>
              <w:top w:w="60" w:type="dxa"/>
              <w:start w:w="60" w:type="dxa"/>
              <w:bottom w:w="60" w:type="dxa"/>
              <w:end w:w="60" w:type="dxa"/>
            </w:tcMar>
            <w:shd w:fill="E7E6E6"/>
          </w:tcPr>
          <w:p>
            <w:pPr>
              <w:spacing w:after="0" w:before="0"/>
            </w:pPr>
            <w:r/>
            <w:r>
              <w:rPr>
                <w:rFonts w:ascii="Aptos" w:hAnsi="Aptos"/>
                <w:b/>
                <w:sz w:val="13"/>
              </w:rPr>
              <w:t>NON DÉMONTRÉ</w:t>
            </w:r>
          </w:p>
        </w:tc>
        <w:tc>
          <w:tcPr>
            <w:tcW w:type="dxa" w:w="2948"/>
            <w:vAlign w:val="top"/>
            <w:tcMar>
              <w:top w:w="60" w:type="dxa"/>
              <w:start w:w="60" w:type="dxa"/>
              <w:bottom w:w="60" w:type="dxa"/>
              <w:end w:w="60" w:type="dxa"/>
            </w:tcMar>
          </w:tcPr>
          <w:p>
            <w:pPr>
              <w:spacing w:after="0" w:before="0"/>
            </w:pPr>
            <w:r/>
            <w:r>
              <w:rPr>
                <w:rFonts w:ascii="Aptos" w:hAnsi="Aptos"/>
                <w:b w:val="0"/>
                <w:sz w:val="13"/>
              </w:rPr>
              <w:t>À appliquer au futur Policy Engine.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REQ-REUSE-012</w:t>
            </w:r>
          </w:p>
        </w:tc>
        <w:tc>
          <w:tcPr>
            <w:tcW w:type="dxa" w:w="4535"/>
            <w:vAlign w:val="top"/>
            <w:tcMar>
              <w:top w:w="60" w:type="dxa"/>
              <w:start w:w="60" w:type="dxa"/>
              <w:bottom w:w="60" w:type="dxa"/>
              <w:end w:w="60" w:type="dxa"/>
            </w:tcMar>
          </w:tcPr>
          <w:p>
            <w:pPr>
              <w:spacing w:after="0" w:before="0"/>
            </w:pPr>
            <w:r/>
            <w:r>
              <w:rPr>
                <w:rFonts w:ascii="Aptos" w:hAnsi="Aptos"/>
                <w:b w:val="0"/>
                <w:sz w:val="13"/>
              </w:rPr>
              <w:t>Reversibilité fournisseur — Une dépendance structurante ne doit pas dicter le modèle métier.</w:t>
            </w:r>
          </w:p>
        </w:tc>
        <w:tc>
          <w:tcPr>
            <w:tcW w:type="dxa" w:w="4082"/>
            <w:vAlign w:val="top"/>
            <w:tcMar>
              <w:top w:w="60" w:type="dxa"/>
              <w:start w:w="60" w:type="dxa"/>
              <w:bottom w:w="60" w:type="dxa"/>
              <w:end w:w="60" w:type="dxa"/>
            </w:tcMar>
          </w:tcPr>
          <w:p>
            <w:pPr>
              <w:spacing w:after="0" w:before="0"/>
            </w:pPr>
            <w:r/>
            <w:r>
              <w:rPr>
                <w:rFonts w:ascii="Aptos" w:hAnsi="Aptos"/>
                <w:b w:val="0"/>
                <w:sz w:val="13"/>
              </w:rPr>
              <w:t>Ports/adapters permettent remplacement raisonnable quand pertinent.</w:t>
            </w:r>
          </w:p>
        </w:tc>
        <w:tc>
          <w:tcPr>
            <w:tcW w:type="dxa" w:w="1701"/>
            <w:vAlign w:val="top"/>
            <w:tcMar>
              <w:top w:w="60" w:type="dxa"/>
              <w:start w:w="60" w:type="dxa"/>
              <w:bottom w:w="60" w:type="dxa"/>
              <w:end w:w="60" w:type="dxa"/>
            </w:tcMar>
          </w:tcPr>
          <w:p>
            <w:pPr>
              <w:spacing w:after="0" w:before="0"/>
            </w:pPr>
            <w:r/>
            <w:r>
              <w:rPr>
                <w:rFonts w:ascii="Aptos" w:hAnsi="Aptos"/>
                <w:b w:val="0"/>
                <w:sz w:val="13"/>
              </w:rPr>
              <w:t>Décision d’architecture produit</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TranslationProvider/Discord adapter sont de bons exemples; pas prouvé partout.</w:t>
            </w:r>
          </w:p>
        </w:tc>
      </w:tr>
    </w:tbl>
    <w:p/>
    <w:p>
      <w:pPr>
        <w:pStyle w:val="Heading2"/>
      </w:pPr>
      <w:r>
        <w:t>5.7 Permission analysis — exigences renforcées</w:t>
      </w:r>
    </w:p>
    <w:tbl>
      <w:tblPr>
        <w:tblW w:type="auto" w:w="0"/>
        <w:jc w:val="center"/>
        <w:tblLayout w:type="fixed"/>
        <w:tblLook w:firstColumn="1" w:firstRow="1" w:lastColumn="0" w:lastRow="0" w:noHBand="0" w:noVBand="1" w:val="04A0"/>
      </w:tblPr>
      <w:tblGrid>
        <w:gridCol w:w="1247"/>
        <w:gridCol w:w="4535"/>
        <w:gridCol w:w="4082"/>
        <w:gridCol w:w="1701"/>
        <w:gridCol w:w="1474"/>
        <w:gridCol w:w="2948"/>
      </w:tblGrid>
      <w:tr>
        <w:trPr>
          <w:tblHeader w:val="true"/>
          <w:cantSplit/>
        </w:trPr>
        <w:tc>
          <w:tcPr>
            <w:tcW w:type="dxa" w:w="2580"/>
            <w:vAlign w:val="top"/>
            <w:tcMar>
              <w:top w:w="60" w:type="dxa"/>
              <w:start w:w="60" w:type="dxa"/>
              <w:bottom w:w="60" w:type="dxa"/>
              <w:end w:w="60" w:type="dxa"/>
            </w:tcMar>
            <w:shd w:fill="D9EAF7"/>
          </w:tcPr>
          <w:p>
            <w:pPr>
              <w:spacing w:after="0" w:before="0"/>
            </w:pPr>
            <w:r/>
            <w:r>
              <w:rPr>
                <w:rFonts w:ascii="Aptos" w:hAnsi="Aptos"/>
                <w:b/>
                <w:sz w:val="14"/>
              </w:rPr>
              <w:t>ID</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Exigence atomique</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Critère d’acceptation</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Source</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Statut</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Preuve / écart</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REQ-PERMX-001</w:t>
            </w:r>
          </w:p>
        </w:tc>
        <w:tc>
          <w:tcPr>
            <w:tcW w:type="dxa" w:w="4535"/>
            <w:vAlign w:val="top"/>
            <w:tcMar>
              <w:top w:w="60" w:type="dxa"/>
              <w:start w:w="60" w:type="dxa"/>
              <w:bottom w:w="60" w:type="dxa"/>
              <w:end w:w="60" w:type="dxa"/>
            </w:tcMar>
          </w:tcPr>
          <w:p>
            <w:pPr>
              <w:spacing w:after="0" w:before="0"/>
            </w:pPr>
            <w:r/>
            <w:r>
              <w:rPr>
                <w:rFonts w:ascii="Aptos" w:hAnsi="Aptos"/>
                <w:b w:val="0"/>
                <w:sz w:val="13"/>
              </w:rPr>
              <w:t>Règles Discord fidèles — L’analyse des permissions doit suivre l’algorithme Discord réel, jamais une heuristique approximative.</w:t>
            </w:r>
          </w:p>
        </w:tc>
        <w:tc>
          <w:tcPr>
            <w:tcW w:type="dxa" w:w="4082"/>
            <w:vAlign w:val="top"/>
            <w:tcMar>
              <w:top w:w="60" w:type="dxa"/>
              <w:start w:w="60" w:type="dxa"/>
              <w:bottom w:w="60" w:type="dxa"/>
              <w:end w:w="60" w:type="dxa"/>
            </w:tcMar>
          </w:tcPr>
          <w:p>
            <w:pPr>
              <w:spacing w:after="0" w:before="0"/>
            </w:pPr>
            <w:r/>
            <w:r>
              <w:rPr>
                <w:rFonts w:ascii="Aptos" w:hAnsi="Aptos"/>
                <w:b w:val="0"/>
                <w:sz w:val="13"/>
              </w:rPr>
              <w:t>Vecteurs owner/admin/base roles/overwrites/threads validés.</w:t>
            </w:r>
          </w:p>
        </w:tc>
        <w:tc>
          <w:tcPr>
            <w:tcW w:type="dxa" w:w="1701"/>
            <w:vAlign w:val="top"/>
            <w:tcMar>
              <w:top w:w="60" w:type="dxa"/>
              <w:start w:w="60" w:type="dxa"/>
              <w:bottom w:w="60" w:type="dxa"/>
              <w:end w:w="60" w:type="dxa"/>
            </w:tcMar>
          </w:tcPr>
          <w:p>
            <w:pPr>
              <w:spacing w:after="0" w:before="0"/>
            </w:pPr>
            <w:r/>
            <w:r>
              <w:rPr>
                <w:rFonts w:ascii="Aptos" w:hAnsi="Aptos"/>
                <w:b w:val="0"/>
                <w:sz w:val="13"/>
              </w:rPr>
              <w:t>REF-FONC §19 + décisions produit</w:t>
            </w:r>
          </w:p>
        </w:tc>
        <w:tc>
          <w:tcPr>
            <w:tcW w:type="dxa" w:w="1474"/>
            <w:vAlign w:val="top"/>
            <w:tcMar>
              <w:top w:w="60" w:type="dxa"/>
              <w:start w:w="60" w:type="dxa"/>
              <w:bottom w:w="60" w:type="dxa"/>
              <w:end w:w="60" w:type="dxa"/>
            </w:tcMar>
            <w:shd w:fill="E2F0D9"/>
          </w:tcPr>
          <w:p>
            <w:pPr>
              <w:spacing w:after="0" w:before="0"/>
            </w:pPr>
            <w:r/>
            <w:r>
              <w:rPr>
                <w:rFonts w:ascii="Aptos" w:hAnsi="Aptos"/>
                <w:b/>
                <w:sz w:val="13"/>
              </w:rPr>
              <w:t>CONFORME</w:t>
            </w:r>
          </w:p>
        </w:tc>
        <w:tc>
          <w:tcPr>
            <w:tcW w:type="dxa" w:w="2948"/>
            <w:vAlign w:val="top"/>
            <w:tcMar>
              <w:top w:w="60" w:type="dxa"/>
              <w:start w:w="60" w:type="dxa"/>
              <w:bottom w:w="60" w:type="dxa"/>
              <w:end w:w="60" w:type="dxa"/>
            </w:tcMar>
          </w:tcPr>
          <w:p>
            <w:pPr>
              <w:spacing w:after="0" w:before="0"/>
            </w:pPr>
            <w:r/>
            <w:r>
              <w:rPr>
                <w:rFonts w:ascii="Aptos" w:hAnsi="Aptos"/>
                <w:b w:val="0"/>
                <w:sz w:val="13"/>
              </w:rPr>
              <w:t>PermissionEvaluator inspecté.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REQ-PERMX-002</w:t>
            </w:r>
          </w:p>
        </w:tc>
        <w:tc>
          <w:tcPr>
            <w:tcW w:type="dxa" w:w="4535"/>
            <w:vAlign w:val="top"/>
            <w:tcMar>
              <w:top w:w="60" w:type="dxa"/>
              <w:start w:w="60" w:type="dxa"/>
              <w:bottom w:w="60" w:type="dxa"/>
              <w:end w:w="60" w:type="dxa"/>
            </w:tcMar>
          </w:tcPr>
          <w:p>
            <w:pPr>
              <w:spacing w:after="0" w:before="0"/>
            </w:pPr>
            <w:r/>
            <w:r>
              <w:rPr>
                <w:rFonts w:ascii="Aptos" w:hAnsi="Aptos"/>
                <w:b w:val="0"/>
                <w:sz w:val="13"/>
              </w:rPr>
              <w:t>Données incomplètes — Si les données nécessaires sont incomplètes/obsolètes, la décision doit être UNKNOWN/INCOMPLETE plutôt qu’inventée.</w:t>
            </w:r>
          </w:p>
        </w:tc>
        <w:tc>
          <w:tcPr>
            <w:tcW w:type="dxa" w:w="4082"/>
            <w:vAlign w:val="top"/>
            <w:tcMar>
              <w:top w:w="60" w:type="dxa"/>
              <w:start w:w="60" w:type="dxa"/>
              <w:bottom w:w="60" w:type="dxa"/>
              <w:end w:w="60" w:type="dxa"/>
            </w:tcMar>
          </w:tcPr>
          <w:p>
            <w:pPr>
              <w:spacing w:after="0" w:before="0"/>
            </w:pPr>
            <w:r/>
            <w:r>
              <w:rPr>
                <w:rFonts w:ascii="Aptos" w:hAnsi="Aptos"/>
                <w:b w:val="0"/>
                <w:sz w:val="13"/>
              </w:rPr>
              <w:t>Coverage/freshness visibles dans résultat.</w:t>
            </w:r>
          </w:p>
        </w:tc>
        <w:tc>
          <w:tcPr>
            <w:tcW w:type="dxa" w:w="1701"/>
            <w:vAlign w:val="top"/>
            <w:tcMar>
              <w:top w:w="60" w:type="dxa"/>
              <w:start w:w="60" w:type="dxa"/>
              <w:bottom w:w="60" w:type="dxa"/>
              <w:end w:w="60" w:type="dxa"/>
            </w:tcMar>
          </w:tcPr>
          <w:p>
            <w:pPr>
              <w:spacing w:after="0" w:before="0"/>
            </w:pPr>
            <w:r/>
            <w:r>
              <w:rPr>
                <w:rFonts w:ascii="Aptos" w:hAnsi="Aptos"/>
                <w:b w:val="0"/>
                <w:sz w:val="13"/>
              </w:rPr>
              <w:t>REF-FONC §19 + décisions produit</w:t>
            </w:r>
          </w:p>
        </w:tc>
        <w:tc>
          <w:tcPr>
            <w:tcW w:type="dxa" w:w="1474"/>
            <w:vAlign w:val="top"/>
            <w:tcMar>
              <w:top w:w="60" w:type="dxa"/>
              <w:start w:w="60" w:type="dxa"/>
              <w:bottom w:w="60" w:type="dxa"/>
              <w:end w:w="60" w:type="dxa"/>
            </w:tcMar>
            <w:shd w:fill="E2F0D9"/>
          </w:tcPr>
          <w:p>
            <w:pPr>
              <w:spacing w:after="0" w:before="0"/>
            </w:pPr>
            <w:r/>
            <w:r>
              <w:rPr>
                <w:rFonts w:ascii="Aptos" w:hAnsi="Aptos"/>
                <w:b/>
                <w:sz w:val="13"/>
              </w:rPr>
              <w:t>CONFORME</w:t>
            </w:r>
          </w:p>
        </w:tc>
        <w:tc>
          <w:tcPr>
            <w:tcW w:type="dxa" w:w="2948"/>
            <w:vAlign w:val="top"/>
            <w:tcMar>
              <w:top w:w="60" w:type="dxa"/>
              <w:start w:w="60" w:type="dxa"/>
              <w:bottom w:w="60" w:type="dxa"/>
              <w:end w:w="60" w:type="dxa"/>
            </w:tcMar>
          </w:tcPr>
          <w:p>
            <w:pPr>
              <w:spacing w:after="0" w:before="0"/>
            </w:pPr>
            <w:r/>
            <w:r>
              <w:rPr>
                <w:rFonts w:ascii="Aptos" w:hAnsi="Aptos"/>
                <w:b w:val="0"/>
                <w:sz w:val="13"/>
              </w:rPr>
              <w:t>PermissionDecision expose coverage/freshness/status/unknown bits.</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REQ-PERMX-003</w:t>
            </w:r>
          </w:p>
        </w:tc>
        <w:tc>
          <w:tcPr>
            <w:tcW w:type="dxa" w:w="4535"/>
            <w:vAlign w:val="top"/>
            <w:tcMar>
              <w:top w:w="60" w:type="dxa"/>
              <w:start w:w="60" w:type="dxa"/>
              <w:bottom w:w="60" w:type="dxa"/>
              <w:end w:w="60" w:type="dxa"/>
            </w:tcMar>
          </w:tcPr>
          <w:p>
            <w:pPr>
              <w:spacing w:after="0" w:before="0"/>
            </w:pPr>
            <w:r/>
            <w:r>
              <w:rPr>
                <w:rFonts w:ascii="Aptos" w:hAnsi="Aptos"/>
                <w:b w:val="0"/>
                <w:sz w:val="13"/>
              </w:rPr>
              <w:t>Explication ordonnée — “Pourquoi a-t-il accès ?” doit fournir les étapes de résolution dans l’ordre effectif.</w:t>
            </w:r>
          </w:p>
        </w:tc>
        <w:tc>
          <w:tcPr>
            <w:tcW w:type="dxa" w:w="4082"/>
            <w:vAlign w:val="top"/>
            <w:tcMar>
              <w:top w:w="60" w:type="dxa"/>
              <w:start w:w="60" w:type="dxa"/>
              <w:bottom w:w="60" w:type="dxa"/>
              <w:end w:w="60" w:type="dxa"/>
            </w:tcMar>
          </w:tcPr>
          <w:p>
            <w:pPr>
              <w:spacing w:after="0" w:before="0"/>
            </w:pPr>
            <w:r/>
            <w:r>
              <w:rPr>
                <w:rFonts w:ascii="Aptos" w:hAnsi="Aptos"/>
                <w:b w:val="0"/>
                <w:sz w:val="13"/>
              </w:rPr>
              <w:t>Trace structurée et stable.</w:t>
            </w:r>
          </w:p>
        </w:tc>
        <w:tc>
          <w:tcPr>
            <w:tcW w:type="dxa" w:w="1701"/>
            <w:vAlign w:val="top"/>
            <w:tcMar>
              <w:top w:w="60" w:type="dxa"/>
              <w:start w:w="60" w:type="dxa"/>
              <w:bottom w:w="60" w:type="dxa"/>
              <w:end w:w="60" w:type="dxa"/>
            </w:tcMar>
          </w:tcPr>
          <w:p>
            <w:pPr>
              <w:spacing w:after="0" w:before="0"/>
            </w:pPr>
            <w:r/>
            <w:r>
              <w:rPr>
                <w:rFonts w:ascii="Aptos" w:hAnsi="Aptos"/>
                <w:b w:val="0"/>
                <w:sz w:val="13"/>
              </w:rPr>
              <w:t>REF-FONC §19 + décisions produit</w:t>
            </w:r>
          </w:p>
        </w:tc>
        <w:tc>
          <w:tcPr>
            <w:tcW w:type="dxa" w:w="1474"/>
            <w:vAlign w:val="top"/>
            <w:tcMar>
              <w:top w:w="60" w:type="dxa"/>
              <w:start w:w="60" w:type="dxa"/>
              <w:bottom w:w="60" w:type="dxa"/>
              <w:end w:w="60" w:type="dxa"/>
            </w:tcMar>
            <w:shd w:fill="E2F0D9"/>
          </w:tcPr>
          <w:p>
            <w:pPr>
              <w:spacing w:after="0" w:before="0"/>
            </w:pPr>
            <w:r/>
            <w:r>
              <w:rPr>
                <w:rFonts w:ascii="Aptos" w:hAnsi="Aptos"/>
                <w:b/>
                <w:sz w:val="13"/>
              </w:rPr>
              <w:t>CONFORME</w:t>
            </w:r>
          </w:p>
        </w:tc>
        <w:tc>
          <w:tcPr>
            <w:tcW w:type="dxa" w:w="2948"/>
            <w:vAlign w:val="top"/>
            <w:tcMar>
              <w:top w:w="60" w:type="dxa"/>
              <w:start w:w="60" w:type="dxa"/>
              <w:bottom w:w="60" w:type="dxa"/>
              <w:end w:w="60" w:type="dxa"/>
            </w:tcMar>
          </w:tcPr>
          <w:p>
            <w:pPr>
              <w:spacing w:after="0" w:before="0"/>
            </w:pPr>
            <w:r/>
            <w:r>
              <w:rPr>
                <w:rFonts w:ascii="Aptos" w:hAnsi="Aptos"/>
                <w:b w:val="0"/>
                <w:sz w:val="13"/>
              </w:rPr>
              <w:t>Trace/reasons dans evaluator; REF §19.</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REQ-PERMX-004</w:t>
            </w:r>
          </w:p>
        </w:tc>
        <w:tc>
          <w:tcPr>
            <w:tcW w:type="dxa" w:w="4535"/>
            <w:vAlign w:val="top"/>
            <w:tcMar>
              <w:top w:w="60" w:type="dxa"/>
              <w:start w:w="60" w:type="dxa"/>
              <w:bottom w:w="60" w:type="dxa"/>
              <w:end w:w="60" w:type="dxa"/>
            </w:tcMar>
          </w:tcPr>
          <w:p>
            <w:pPr>
              <w:spacing w:after="0" w:before="0"/>
            </w:pPr>
            <w:r/>
            <w:r>
              <w:rPr>
                <w:rFonts w:ascii="Aptos" w:hAnsi="Aptos"/>
                <w:b w:val="0"/>
                <w:sz w:val="13"/>
              </w:rPr>
              <w:t>View As membre — Simulation d’un membre réel.</w:t>
            </w:r>
          </w:p>
        </w:tc>
        <w:tc>
          <w:tcPr>
            <w:tcW w:type="dxa" w:w="4082"/>
            <w:vAlign w:val="top"/>
            <w:tcMar>
              <w:top w:w="60" w:type="dxa"/>
              <w:start w:w="60" w:type="dxa"/>
              <w:bottom w:w="60" w:type="dxa"/>
              <w:end w:w="60" w:type="dxa"/>
            </w:tcMar>
          </w:tcPr>
          <w:p>
            <w:pPr>
              <w:spacing w:after="0" w:before="0"/>
            </w:pPr>
            <w:r/>
            <w:r>
              <w:rPr>
                <w:rFonts w:ascii="Aptos" w:hAnsi="Aptos"/>
                <w:b w:val="0"/>
                <w:sz w:val="13"/>
              </w:rPr>
              <w:t>Utilise ses rôles connus et ses overwrites; pas de mutation.</w:t>
            </w:r>
          </w:p>
        </w:tc>
        <w:tc>
          <w:tcPr>
            <w:tcW w:type="dxa" w:w="1701"/>
            <w:vAlign w:val="top"/>
            <w:tcMar>
              <w:top w:w="60" w:type="dxa"/>
              <w:start w:w="60" w:type="dxa"/>
              <w:bottom w:w="60" w:type="dxa"/>
              <w:end w:w="60" w:type="dxa"/>
            </w:tcMar>
          </w:tcPr>
          <w:p>
            <w:pPr>
              <w:spacing w:after="0" w:before="0"/>
            </w:pPr>
            <w:r/>
            <w:r>
              <w:rPr>
                <w:rFonts w:ascii="Aptos" w:hAnsi="Aptos"/>
                <w:b w:val="0"/>
                <w:sz w:val="13"/>
              </w:rPr>
              <w:t>REF-FONC §19 + décisions produit</w:t>
            </w:r>
          </w:p>
        </w:tc>
        <w:tc>
          <w:tcPr>
            <w:tcW w:type="dxa" w:w="1474"/>
            <w:vAlign w:val="top"/>
            <w:tcMar>
              <w:top w:w="60" w:type="dxa"/>
              <w:start w:w="60" w:type="dxa"/>
              <w:bottom w:w="60" w:type="dxa"/>
              <w:end w:w="60" w:type="dxa"/>
            </w:tcMar>
            <w:shd w:fill="E2F0D9"/>
          </w:tcPr>
          <w:p>
            <w:pPr>
              <w:spacing w:after="0" w:before="0"/>
            </w:pPr>
            <w:r/>
            <w:r>
              <w:rPr>
                <w:rFonts w:ascii="Aptos" w:hAnsi="Aptos"/>
                <w:b/>
                <w:sz w:val="13"/>
              </w:rPr>
              <w:t>CONFORME</w:t>
            </w:r>
          </w:p>
        </w:tc>
        <w:tc>
          <w:tcPr>
            <w:tcW w:type="dxa" w:w="2948"/>
            <w:vAlign w:val="top"/>
            <w:tcMar>
              <w:top w:w="60" w:type="dxa"/>
              <w:start w:w="60" w:type="dxa"/>
              <w:bottom w:w="60" w:type="dxa"/>
              <w:end w:w="60" w:type="dxa"/>
            </w:tcMar>
          </w:tcPr>
          <w:p>
            <w:pPr>
              <w:spacing w:after="0" w:before="0"/>
            </w:pPr>
            <w:r/>
            <w:r>
              <w:rPr>
                <w:rFonts w:ascii="Aptos" w:hAnsi="Aptos"/>
                <w:b w:val="0"/>
                <w:sz w:val="13"/>
              </w:rPr>
              <w:t>ViewAsMode.MEMBER inspecté.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REQ-PERMX-005</w:t>
            </w:r>
          </w:p>
        </w:tc>
        <w:tc>
          <w:tcPr>
            <w:tcW w:type="dxa" w:w="4535"/>
            <w:vAlign w:val="top"/>
            <w:tcMar>
              <w:top w:w="60" w:type="dxa"/>
              <w:start w:w="60" w:type="dxa"/>
              <w:bottom w:w="60" w:type="dxa"/>
              <w:end w:w="60" w:type="dxa"/>
            </w:tcMar>
          </w:tcPr>
          <w:p>
            <w:pPr>
              <w:spacing w:after="0" w:before="0"/>
            </w:pPr>
            <w:r/>
            <w:r>
              <w:rPr>
                <w:rFonts w:ascii="Aptos" w:hAnsi="Aptos"/>
                <w:b w:val="0"/>
                <w:sz w:val="13"/>
              </w:rPr>
              <w:t>View As rôle — Simulation d’un rôle synthétique.</w:t>
            </w:r>
          </w:p>
        </w:tc>
        <w:tc>
          <w:tcPr>
            <w:tcW w:type="dxa" w:w="4082"/>
            <w:vAlign w:val="top"/>
            <w:tcMar>
              <w:top w:w="60" w:type="dxa"/>
              <w:start w:w="60" w:type="dxa"/>
              <w:bottom w:w="60" w:type="dxa"/>
              <w:end w:w="60" w:type="dxa"/>
            </w:tcMar>
          </w:tcPr>
          <w:p>
            <w:pPr>
              <w:spacing w:after="0" w:before="0"/>
            </w:pPr>
            <w:r/>
            <w:r>
              <w:rPr>
                <w:rFonts w:ascii="Aptos" w:hAnsi="Aptos"/>
                <w:b w:val="0"/>
                <w:sz w:val="13"/>
              </w:rPr>
              <w:t>Évite owner bypass accidentel et respecte règles Discord.</w:t>
            </w:r>
          </w:p>
        </w:tc>
        <w:tc>
          <w:tcPr>
            <w:tcW w:type="dxa" w:w="1701"/>
            <w:vAlign w:val="top"/>
            <w:tcMar>
              <w:top w:w="60" w:type="dxa"/>
              <w:start w:w="60" w:type="dxa"/>
              <w:bottom w:w="60" w:type="dxa"/>
              <w:end w:w="60" w:type="dxa"/>
            </w:tcMar>
          </w:tcPr>
          <w:p>
            <w:pPr>
              <w:spacing w:after="0" w:before="0"/>
            </w:pPr>
            <w:r/>
            <w:r>
              <w:rPr>
                <w:rFonts w:ascii="Aptos" w:hAnsi="Aptos"/>
                <w:b w:val="0"/>
                <w:sz w:val="13"/>
              </w:rPr>
              <w:t>REF-FONC §19 + décisions produit</w:t>
            </w:r>
          </w:p>
        </w:tc>
        <w:tc>
          <w:tcPr>
            <w:tcW w:type="dxa" w:w="1474"/>
            <w:vAlign w:val="top"/>
            <w:tcMar>
              <w:top w:w="60" w:type="dxa"/>
              <w:start w:w="60" w:type="dxa"/>
              <w:bottom w:w="60" w:type="dxa"/>
              <w:end w:w="60" w:type="dxa"/>
            </w:tcMar>
            <w:shd w:fill="E2F0D9"/>
          </w:tcPr>
          <w:p>
            <w:pPr>
              <w:spacing w:after="0" w:before="0"/>
            </w:pPr>
            <w:r/>
            <w:r>
              <w:rPr>
                <w:rFonts w:ascii="Aptos" w:hAnsi="Aptos"/>
                <w:b/>
                <w:sz w:val="13"/>
              </w:rPr>
              <w:t>CONFORME</w:t>
            </w:r>
          </w:p>
        </w:tc>
        <w:tc>
          <w:tcPr>
            <w:tcW w:type="dxa" w:w="2948"/>
            <w:vAlign w:val="top"/>
            <w:tcMar>
              <w:top w:w="60" w:type="dxa"/>
              <w:start w:w="60" w:type="dxa"/>
              <w:bottom w:w="60" w:type="dxa"/>
              <w:end w:w="60" w:type="dxa"/>
            </w:tcMar>
          </w:tcPr>
          <w:p>
            <w:pPr>
              <w:spacing w:after="0" w:before="0"/>
            </w:pPr>
            <w:r/>
            <w:r>
              <w:rPr>
                <w:rFonts w:ascii="Aptos" w:hAnsi="Aptos"/>
                <w:b w:val="0"/>
                <w:sz w:val="13"/>
              </w:rPr>
              <w:t>ViewAsMode.ROLE inspecté.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REQ-PERMX-006</w:t>
            </w:r>
          </w:p>
        </w:tc>
        <w:tc>
          <w:tcPr>
            <w:tcW w:type="dxa" w:w="4535"/>
            <w:vAlign w:val="top"/>
            <w:tcMar>
              <w:top w:w="60" w:type="dxa"/>
              <w:start w:w="60" w:type="dxa"/>
              <w:bottom w:w="60" w:type="dxa"/>
              <w:end w:w="60" w:type="dxa"/>
            </w:tcMar>
          </w:tcPr>
          <w:p>
            <w:pPr>
              <w:spacing w:after="0" w:before="0"/>
            </w:pPr>
            <w:r/>
            <w:r>
              <w:rPr>
                <w:rFonts w:ascii="Aptos" w:hAnsi="Aptos"/>
                <w:b w:val="0"/>
                <w:sz w:val="13"/>
              </w:rPr>
              <w:t>View As nouvel arrivant — Simulation d’un newcomer.</w:t>
            </w:r>
          </w:p>
        </w:tc>
        <w:tc>
          <w:tcPr>
            <w:tcW w:type="dxa" w:w="4082"/>
            <w:vAlign w:val="top"/>
            <w:tcMar>
              <w:top w:w="60" w:type="dxa"/>
              <w:start w:w="60" w:type="dxa"/>
              <w:bottom w:w="60" w:type="dxa"/>
              <w:end w:w="60" w:type="dxa"/>
            </w:tcMar>
          </w:tcPr>
          <w:p>
            <w:pPr>
              <w:spacing w:after="0" w:before="0"/>
            </w:pPr>
            <w:r/>
            <w:r>
              <w:rPr>
                <w:rFonts w:ascii="Aptos" w:hAnsi="Aptos"/>
                <w:b w:val="0"/>
                <w:sz w:val="13"/>
              </w:rPr>
              <w:t>Sujet synthétique minimal et résultats explicables.</w:t>
            </w:r>
          </w:p>
        </w:tc>
        <w:tc>
          <w:tcPr>
            <w:tcW w:type="dxa" w:w="1701"/>
            <w:vAlign w:val="top"/>
            <w:tcMar>
              <w:top w:w="60" w:type="dxa"/>
              <w:start w:w="60" w:type="dxa"/>
              <w:bottom w:w="60" w:type="dxa"/>
              <w:end w:w="60" w:type="dxa"/>
            </w:tcMar>
          </w:tcPr>
          <w:p>
            <w:pPr>
              <w:spacing w:after="0" w:before="0"/>
            </w:pPr>
            <w:r/>
            <w:r>
              <w:rPr>
                <w:rFonts w:ascii="Aptos" w:hAnsi="Aptos"/>
                <w:b w:val="0"/>
                <w:sz w:val="13"/>
              </w:rPr>
              <w:t>REF-FONC §19 + décisions produit</w:t>
            </w:r>
          </w:p>
        </w:tc>
        <w:tc>
          <w:tcPr>
            <w:tcW w:type="dxa" w:w="1474"/>
            <w:vAlign w:val="top"/>
            <w:tcMar>
              <w:top w:w="60" w:type="dxa"/>
              <w:start w:w="60" w:type="dxa"/>
              <w:bottom w:w="60" w:type="dxa"/>
              <w:end w:w="60" w:type="dxa"/>
            </w:tcMar>
            <w:shd w:fill="E2F0D9"/>
          </w:tcPr>
          <w:p>
            <w:pPr>
              <w:spacing w:after="0" w:before="0"/>
            </w:pPr>
            <w:r/>
            <w:r>
              <w:rPr>
                <w:rFonts w:ascii="Aptos" w:hAnsi="Aptos"/>
                <w:b/>
                <w:sz w:val="13"/>
              </w:rPr>
              <w:t>CONFORME</w:t>
            </w:r>
          </w:p>
        </w:tc>
        <w:tc>
          <w:tcPr>
            <w:tcW w:type="dxa" w:w="2948"/>
            <w:vAlign w:val="top"/>
            <w:tcMar>
              <w:top w:w="60" w:type="dxa"/>
              <w:start w:w="60" w:type="dxa"/>
              <w:bottom w:w="60" w:type="dxa"/>
              <w:end w:w="60" w:type="dxa"/>
            </w:tcMar>
          </w:tcPr>
          <w:p>
            <w:pPr>
              <w:spacing w:after="0" w:before="0"/>
            </w:pPr>
            <w:r/>
            <w:r>
              <w:rPr>
                <w:rFonts w:ascii="Aptos" w:hAnsi="Aptos"/>
                <w:b w:val="0"/>
                <w:sz w:val="13"/>
              </w:rPr>
              <w:t>ViewAsMode.NEWCOMER inspecté.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REQ-PERMX-007</w:t>
            </w:r>
          </w:p>
        </w:tc>
        <w:tc>
          <w:tcPr>
            <w:tcW w:type="dxa" w:w="4535"/>
            <w:vAlign w:val="top"/>
            <w:tcMar>
              <w:top w:w="60" w:type="dxa"/>
              <w:start w:w="60" w:type="dxa"/>
              <w:bottom w:w="60" w:type="dxa"/>
              <w:end w:w="60" w:type="dxa"/>
            </w:tcMar>
          </w:tcPr>
          <w:p>
            <w:pPr>
              <w:spacing w:after="0" w:before="0"/>
            </w:pPr>
            <w:r/>
            <w:r>
              <w:rPr>
                <w:rFonts w:ascii="Aptos" w:hAnsi="Aptos"/>
                <w:b w:val="0"/>
                <w:sz w:val="13"/>
              </w:rPr>
              <w:t>Avant/après — Toute modification de permissions proposée doit pouvoir comparer avant/après.</w:t>
            </w:r>
          </w:p>
        </w:tc>
        <w:tc>
          <w:tcPr>
            <w:tcW w:type="dxa" w:w="4082"/>
            <w:vAlign w:val="top"/>
            <w:tcMar>
              <w:top w:w="60" w:type="dxa"/>
              <w:start w:w="60" w:type="dxa"/>
              <w:bottom w:w="60" w:type="dxa"/>
              <w:end w:w="60" w:type="dxa"/>
            </w:tcMar>
          </w:tcPr>
          <w:p>
            <w:pPr>
              <w:spacing w:after="0" w:before="0"/>
            </w:pPr>
            <w:r/>
            <w:r>
              <w:rPr>
                <w:rFonts w:ascii="Aptos" w:hAnsi="Aptos"/>
                <w:b w:val="0"/>
                <w:sz w:val="13"/>
              </w:rPr>
              <w:t>Added/removed bits et sujets incomplets retournés.</w:t>
            </w:r>
          </w:p>
        </w:tc>
        <w:tc>
          <w:tcPr>
            <w:tcW w:type="dxa" w:w="1701"/>
            <w:vAlign w:val="top"/>
            <w:tcMar>
              <w:top w:w="60" w:type="dxa"/>
              <w:start w:w="60" w:type="dxa"/>
              <w:bottom w:w="60" w:type="dxa"/>
              <w:end w:w="60" w:type="dxa"/>
            </w:tcMar>
          </w:tcPr>
          <w:p>
            <w:pPr>
              <w:spacing w:after="0" w:before="0"/>
            </w:pPr>
            <w:r/>
            <w:r>
              <w:rPr>
                <w:rFonts w:ascii="Aptos" w:hAnsi="Aptos"/>
                <w:b w:val="0"/>
                <w:sz w:val="13"/>
              </w:rPr>
              <w:t>REF-FONC §19 + décisions produit</w:t>
            </w:r>
          </w:p>
        </w:tc>
        <w:tc>
          <w:tcPr>
            <w:tcW w:type="dxa" w:w="1474"/>
            <w:vAlign w:val="top"/>
            <w:tcMar>
              <w:top w:w="60" w:type="dxa"/>
              <w:start w:w="60" w:type="dxa"/>
              <w:bottom w:w="60" w:type="dxa"/>
              <w:end w:w="60" w:type="dxa"/>
            </w:tcMar>
            <w:shd w:fill="E2F0D9"/>
          </w:tcPr>
          <w:p>
            <w:pPr>
              <w:spacing w:after="0" w:before="0"/>
            </w:pPr>
            <w:r/>
            <w:r>
              <w:rPr>
                <w:rFonts w:ascii="Aptos" w:hAnsi="Aptos"/>
                <w:b/>
                <w:sz w:val="13"/>
              </w:rPr>
              <w:t>CONFORME</w:t>
            </w:r>
          </w:p>
        </w:tc>
        <w:tc>
          <w:tcPr>
            <w:tcW w:type="dxa" w:w="2948"/>
            <w:vAlign w:val="top"/>
            <w:tcMar>
              <w:top w:w="60" w:type="dxa"/>
              <w:start w:w="60" w:type="dxa"/>
              <w:bottom w:w="60" w:type="dxa"/>
              <w:end w:w="60" w:type="dxa"/>
            </w:tcMar>
          </w:tcPr>
          <w:p>
            <w:pPr>
              <w:spacing w:after="0" w:before="0"/>
            </w:pPr>
            <w:r/>
            <w:r>
              <w:rPr>
                <w:rFonts w:ascii="Aptos" w:hAnsi="Aptos"/>
                <w:b w:val="0"/>
                <w:sz w:val="13"/>
              </w:rPr>
              <w:t>simulate_overwrites inspecté.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REQ-PERMX-008</w:t>
            </w:r>
          </w:p>
        </w:tc>
        <w:tc>
          <w:tcPr>
            <w:tcW w:type="dxa" w:w="4535"/>
            <w:vAlign w:val="top"/>
            <w:tcMar>
              <w:top w:w="60" w:type="dxa"/>
              <w:start w:w="60" w:type="dxa"/>
              <w:bottom w:w="60" w:type="dxa"/>
              <w:end w:w="60" w:type="dxa"/>
            </w:tcMar>
          </w:tcPr>
          <w:p>
            <w:pPr>
              <w:spacing w:after="0" w:before="0"/>
            </w:pPr>
            <w:r/>
            <w:r>
              <w:rPr>
                <w:rFonts w:ascii="Aptos" w:hAnsi="Aptos"/>
                <w:b w:val="0"/>
                <w:sz w:val="13"/>
              </w:rPr>
              <w:t>Simple humain — Le mode simple compile des concepts humains vers flags réels.</w:t>
            </w:r>
          </w:p>
        </w:tc>
        <w:tc>
          <w:tcPr>
            <w:tcW w:type="dxa" w:w="4082"/>
            <w:vAlign w:val="top"/>
            <w:tcMar>
              <w:top w:w="60" w:type="dxa"/>
              <w:start w:w="60" w:type="dxa"/>
              <w:bottom w:w="60" w:type="dxa"/>
              <w:end w:w="60" w:type="dxa"/>
            </w:tcMar>
          </w:tcPr>
          <w:p>
            <w:pPr>
              <w:spacing w:after="0" w:before="0"/>
            </w:pPr>
            <w:r/>
            <w:r>
              <w:rPr>
                <w:rFonts w:ascii="Aptos" w:hAnsi="Aptos"/>
                <w:b w:val="0"/>
                <w:sz w:val="13"/>
              </w:rPr>
              <w:t>VIEW/WRITE/MANAGE/VOICE* reposent sur registry officielle.</w:t>
            </w:r>
          </w:p>
        </w:tc>
        <w:tc>
          <w:tcPr>
            <w:tcW w:type="dxa" w:w="1701"/>
            <w:vAlign w:val="top"/>
            <w:tcMar>
              <w:top w:w="60" w:type="dxa"/>
              <w:start w:w="60" w:type="dxa"/>
              <w:bottom w:w="60" w:type="dxa"/>
              <w:end w:w="60" w:type="dxa"/>
            </w:tcMar>
          </w:tcPr>
          <w:p>
            <w:pPr>
              <w:spacing w:after="0" w:before="0"/>
            </w:pPr>
            <w:r/>
            <w:r>
              <w:rPr>
                <w:rFonts w:ascii="Aptos" w:hAnsi="Aptos"/>
                <w:b w:val="0"/>
                <w:sz w:val="13"/>
              </w:rPr>
              <w:t>REF-FONC §19 + décisions produit</w:t>
            </w:r>
          </w:p>
        </w:tc>
        <w:tc>
          <w:tcPr>
            <w:tcW w:type="dxa" w:w="1474"/>
            <w:vAlign w:val="top"/>
            <w:tcMar>
              <w:top w:w="60" w:type="dxa"/>
              <w:start w:w="60" w:type="dxa"/>
              <w:bottom w:w="60" w:type="dxa"/>
              <w:end w:w="60" w:type="dxa"/>
            </w:tcMar>
            <w:shd w:fill="E2F0D9"/>
          </w:tcPr>
          <w:p>
            <w:pPr>
              <w:spacing w:after="0" w:before="0"/>
            </w:pPr>
            <w:r/>
            <w:r>
              <w:rPr>
                <w:rFonts w:ascii="Aptos" w:hAnsi="Aptos"/>
                <w:b/>
                <w:sz w:val="13"/>
              </w:rPr>
              <w:t>CONFORME</w:t>
            </w:r>
          </w:p>
        </w:tc>
        <w:tc>
          <w:tcPr>
            <w:tcW w:type="dxa" w:w="2948"/>
            <w:vAlign w:val="top"/>
            <w:tcMar>
              <w:top w:w="60" w:type="dxa"/>
              <w:start w:w="60" w:type="dxa"/>
              <w:bottom w:w="60" w:type="dxa"/>
              <w:end w:w="60" w:type="dxa"/>
            </w:tcMar>
          </w:tcPr>
          <w:p>
            <w:pPr>
              <w:spacing w:after="0" w:before="0"/>
            </w:pPr>
            <w:r/>
            <w:r>
              <w:rPr>
                <w:rFonts w:ascii="Aptos" w:hAnsi="Aptos"/>
                <w:b w:val="0"/>
                <w:sz w:val="13"/>
              </w:rPr>
              <w:t>compile_simple_permissions inspecté.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REQ-PERMX-009</w:t>
            </w:r>
          </w:p>
        </w:tc>
        <w:tc>
          <w:tcPr>
            <w:tcW w:type="dxa" w:w="4535"/>
            <w:vAlign w:val="top"/>
            <w:tcMar>
              <w:top w:w="60" w:type="dxa"/>
              <w:start w:w="60" w:type="dxa"/>
              <w:bottom w:w="60" w:type="dxa"/>
              <w:end w:w="60" w:type="dxa"/>
            </w:tcMar>
          </w:tcPr>
          <w:p>
            <w:pPr>
              <w:spacing w:after="0" w:before="0"/>
            </w:pPr>
            <w:r/>
            <w:r>
              <w:rPr>
                <w:rFonts w:ascii="Aptos" w:hAnsi="Aptos"/>
                <w:b w:val="0"/>
                <w:sz w:val="13"/>
              </w:rPr>
              <w:t>Expert réel — Le mode expert montre bits/flags/overwrites réels, y compris inconnus.</w:t>
            </w:r>
          </w:p>
        </w:tc>
        <w:tc>
          <w:tcPr>
            <w:tcW w:type="dxa" w:w="4082"/>
            <w:vAlign w:val="top"/>
            <w:tcMar>
              <w:top w:w="60" w:type="dxa"/>
              <w:start w:w="60" w:type="dxa"/>
              <w:bottom w:w="60" w:type="dxa"/>
              <w:end w:w="60" w:type="dxa"/>
            </w:tcMar>
          </w:tcPr>
          <w:p>
            <w:pPr>
              <w:spacing w:after="0" w:before="0"/>
            </w:pPr>
            <w:r/>
            <w:r>
              <w:rPr>
                <w:rFonts w:ascii="Aptos" w:hAnsi="Aptos"/>
                <w:b w:val="0"/>
                <w:sz w:val="13"/>
              </w:rPr>
              <w:t>Aucune “permission simplifiée” présentée comme native.</w:t>
            </w:r>
          </w:p>
        </w:tc>
        <w:tc>
          <w:tcPr>
            <w:tcW w:type="dxa" w:w="1701"/>
            <w:vAlign w:val="top"/>
            <w:tcMar>
              <w:top w:w="60" w:type="dxa"/>
              <w:start w:w="60" w:type="dxa"/>
              <w:bottom w:w="60" w:type="dxa"/>
              <w:end w:w="60" w:type="dxa"/>
            </w:tcMar>
          </w:tcPr>
          <w:p>
            <w:pPr>
              <w:spacing w:after="0" w:before="0"/>
            </w:pPr>
            <w:r/>
            <w:r>
              <w:rPr>
                <w:rFonts w:ascii="Aptos" w:hAnsi="Aptos"/>
                <w:b w:val="0"/>
                <w:sz w:val="13"/>
              </w:rPr>
              <w:t>REF-FONC §19 + décisions produit</w:t>
            </w:r>
          </w:p>
        </w:tc>
        <w:tc>
          <w:tcPr>
            <w:tcW w:type="dxa" w:w="1474"/>
            <w:vAlign w:val="top"/>
            <w:tcMar>
              <w:top w:w="60" w:type="dxa"/>
              <w:start w:w="60" w:type="dxa"/>
              <w:bottom w:w="60" w:type="dxa"/>
              <w:end w:w="60" w:type="dxa"/>
            </w:tcMar>
            <w:shd w:fill="E2F0D9"/>
          </w:tcPr>
          <w:p>
            <w:pPr>
              <w:spacing w:after="0" w:before="0"/>
            </w:pPr>
            <w:r/>
            <w:r>
              <w:rPr>
                <w:rFonts w:ascii="Aptos" w:hAnsi="Aptos"/>
                <w:b/>
                <w:sz w:val="13"/>
              </w:rPr>
              <w:t>CONFORME</w:t>
            </w:r>
          </w:p>
        </w:tc>
        <w:tc>
          <w:tcPr>
            <w:tcW w:type="dxa" w:w="2948"/>
            <w:vAlign w:val="top"/>
            <w:tcMar>
              <w:top w:w="60" w:type="dxa"/>
              <w:start w:w="60" w:type="dxa"/>
              <w:bottom w:w="60" w:type="dxa"/>
              <w:end w:w="60" w:type="dxa"/>
            </w:tcMar>
          </w:tcPr>
          <w:p>
            <w:pPr>
              <w:spacing w:after="0" w:before="0"/>
            </w:pPr>
            <w:r/>
            <w:r>
              <w:rPr>
                <w:rFonts w:ascii="Aptos" w:hAnsi="Aptos"/>
                <w:b w:val="0"/>
                <w:sz w:val="13"/>
              </w:rPr>
              <w:t>ExpertPermissionModel inspecté.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REQ-PERMX-010</w:t>
            </w:r>
          </w:p>
        </w:tc>
        <w:tc>
          <w:tcPr>
            <w:tcW w:type="dxa" w:w="4535"/>
            <w:vAlign w:val="top"/>
            <w:tcMar>
              <w:top w:w="60" w:type="dxa"/>
              <w:start w:w="60" w:type="dxa"/>
              <w:bottom w:w="60" w:type="dxa"/>
              <w:end w:w="60" w:type="dxa"/>
            </w:tcMar>
          </w:tcPr>
          <w:p>
            <w:pPr>
              <w:spacing w:after="0" w:before="0"/>
            </w:pPr>
            <w:r/>
            <w:r>
              <w:rPr>
                <w:rFonts w:ascii="Aptos" w:hAnsi="Aptos"/>
                <w:b w:val="0"/>
                <w:sz w:val="13"/>
              </w:rPr>
              <w:t>Même moteur partout — Wizard, Policy, membre et plan doivent consommer le moteur canonique de permissions.</w:t>
            </w:r>
          </w:p>
        </w:tc>
        <w:tc>
          <w:tcPr>
            <w:tcW w:type="dxa" w:w="4082"/>
            <w:vAlign w:val="top"/>
            <w:tcMar>
              <w:top w:w="60" w:type="dxa"/>
              <w:start w:w="60" w:type="dxa"/>
              <w:bottom w:w="60" w:type="dxa"/>
              <w:end w:w="60" w:type="dxa"/>
            </w:tcMar>
          </w:tcPr>
          <w:p>
            <w:pPr>
              <w:spacing w:after="0" w:before="0"/>
            </w:pPr>
            <w:r/>
            <w:r>
              <w:rPr>
                <w:rFonts w:ascii="Aptos" w:hAnsi="Aptos"/>
                <w:b w:val="0"/>
                <w:sz w:val="13"/>
              </w:rPr>
              <w:t>Aucun calcul séparé frontend ne peut autoriser une mutation.</w:t>
            </w:r>
          </w:p>
        </w:tc>
        <w:tc>
          <w:tcPr>
            <w:tcW w:type="dxa" w:w="1701"/>
            <w:vAlign w:val="top"/>
            <w:tcMar>
              <w:top w:w="60" w:type="dxa"/>
              <w:start w:w="60" w:type="dxa"/>
              <w:bottom w:w="60" w:type="dxa"/>
              <w:end w:w="60" w:type="dxa"/>
            </w:tcMar>
          </w:tcPr>
          <w:p>
            <w:pPr>
              <w:spacing w:after="0" w:before="0"/>
            </w:pPr>
            <w:r/>
            <w:r>
              <w:rPr>
                <w:rFonts w:ascii="Aptos" w:hAnsi="Aptos"/>
                <w:b w:val="0"/>
                <w:sz w:val="13"/>
              </w:rPr>
              <w:t>REF-FONC §19 + décisions produit</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Moteur canonique existe; Wizard/Policy Engine absents.</w:t>
            </w:r>
          </w:p>
        </w:tc>
      </w:tr>
    </w:tbl>
    <w:p/>
    <w:p>
      <w:pPr>
        <w:pStyle w:val="Heading2"/>
      </w:pPr>
      <w:r>
        <w:t>5.8 Qualité, tests et preuve de conformité</w:t>
      </w:r>
    </w:p>
    <w:tbl>
      <w:tblPr>
        <w:tblW w:type="auto" w:w="0"/>
        <w:jc w:val="center"/>
        <w:tblLayout w:type="fixed"/>
        <w:tblLook w:firstColumn="1" w:firstRow="1" w:lastColumn="0" w:lastRow="0" w:noHBand="0" w:noVBand="1" w:val="04A0"/>
      </w:tblPr>
      <w:tblGrid>
        <w:gridCol w:w="1247"/>
        <w:gridCol w:w="4535"/>
        <w:gridCol w:w="4082"/>
        <w:gridCol w:w="1701"/>
        <w:gridCol w:w="1474"/>
        <w:gridCol w:w="2948"/>
      </w:tblGrid>
      <w:tr>
        <w:trPr>
          <w:tblHeader w:val="true"/>
          <w:cantSplit/>
        </w:trPr>
        <w:tc>
          <w:tcPr>
            <w:tcW w:type="dxa" w:w="2580"/>
            <w:vAlign w:val="top"/>
            <w:tcMar>
              <w:top w:w="60" w:type="dxa"/>
              <w:start w:w="60" w:type="dxa"/>
              <w:bottom w:w="60" w:type="dxa"/>
              <w:end w:w="60" w:type="dxa"/>
            </w:tcMar>
            <w:shd w:fill="D9EAF7"/>
          </w:tcPr>
          <w:p>
            <w:pPr>
              <w:spacing w:after="0" w:before="0"/>
            </w:pPr>
            <w:r/>
            <w:r>
              <w:rPr>
                <w:rFonts w:ascii="Aptos" w:hAnsi="Aptos"/>
                <w:b/>
                <w:sz w:val="14"/>
              </w:rPr>
              <w:t>ID</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Exigence atomique</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Critère d’acceptation</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Source</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Statut</w:t>
            </w:r>
          </w:p>
        </w:tc>
        <w:tc>
          <w:tcPr>
            <w:tcW w:type="dxa" w:w="2580"/>
            <w:vAlign w:val="top"/>
            <w:tcMar>
              <w:top w:w="60" w:type="dxa"/>
              <w:start w:w="60" w:type="dxa"/>
              <w:bottom w:w="60" w:type="dxa"/>
              <w:end w:w="60" w:type="dxa"/>
            </w:tcMar>
            <w:shd w:fill="D9EAF7"/>
          </w:tcPr>
          <w:p>
            <w:pPr>
              <w:spacing w:after="0" w:before="0"/>
            </w:pPr>
            <w:r/>
            <w:r>
              <w:rPr>
                <w:rFonts w:ascii="Aptos" w:hAnsi="Aptos"/>
                <w:b/>
                <w:sz w:val="14"/>
              </w:rPr>
              <w:t>Preuve / écart</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REQ-QA-001</w:t>
            </w:r>
          </w:p>
        </w:tc>
        <w:tc>
          <w:tcPr>
            <w:tcW w:type="dxa" w:w="4535"/>
            <w:vAlign w:val="top"/>
            <w:tcMar>
              <w:top w:w="60" w:type="dxa"/>
              <w:start w:w="60" w:type="dxa"/>
              <w:bottom w:w="60" w:type="dxa"/>
              <w:end w:w="60" w:type="dxa"/>
            </w:tcMar>
          </w:tcPr>
          <w:p>
            <w:pPr>
              <w:spacing w:after="0" w:before="0"/>
            </w:pPr>
            <w:r/>
            <w:r>
              <w:rPr>
                <w:rFonts w:ascii="Aptos" w:hAnsi="Aptos"/>
                <w:b w:val="0"/>
                <w:sz w:val="13"/>
              </w:rPr>
              <w:t>Critère de conformité — Un fichier, une classe ou un écran ne suffit pas à déclarer une exigence conforme.</w:t>
            </w:r>
          </w:p>
        </w:tc>
        <w:tc>
          <w:tcPr>
            <w:tcW w:type="dxa" w:w="4082"/>
            <w:vAlign w:val="top"/>
            <w:tcMar>
              <w:top w:w="60" w:type="dxa"/>
              <w:start w:w="60" w:type="dxa"/>
              <w:bottom w:w="60" w:type="dxa"/>
              <w:end w:w="60" w:type="dxa"/>
            </w:tcMar>
          </w:tcPr>
          <w:p>
            <w:pPr>
              <w:spacing w:after="0" w:before="0"/>
            </w:pPr>
            <w:r/>
            <w:r>
              <w:rPr>
                <w:rFonts w:ascii="Aptos" w:hAnsi="Aptos"/>
                <w:b w:val="0"/>
                <w:sz w:val="13"/>
              </w:rPr>
              <w:t>Preuve porte sur le comportement bout-en-bout nécessaire.</w:t>
            </w:r>
          </w:p>
        </w:tc>
        <w:tc>
          <w:tcPr>
            <w:tcW w:type="dxa" w:w="1701"/>
            <w:vAlign w:val="top"/>
            <w:tcMar>
              <w:top w:w="60" w:type="dxa"/>
              <w:start w:w="60" w:type="dxa"/>
              <w:bottom w:w="60" w:type="dxa"/>
              <w:end w:w="60" w:type="dxa"/>
            </w:tcMar>
          </w:tcPr>
          <w:p>
            <w:pPr>
              <w:spacing w:after="0" w:before="0"/>
            </w:pPr>
            <w:r/>
            <w:r>
              <w:rPr>
                <w:rFonts w:ascii="Aptos" w:hAnsi="Aptos"/>
                <w:b w:val="0"/>
                <w:sz w:val="13"/>
              </w:rPr>
              <w:t>Méthode audit + Stage10</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Règle d’audit adoptée ici; traçabilité historique parfois plus large que preuve réinspectée.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REQ-QA-002</w:t>
            </w:r>
          </w:p>
        </w:tc>
        <w:tc>
          <w:tcPr>
            <w:tcW w:type="dxa" w:w="4535"/>
            <w:vAlign w:val="top"/>
            <w:tcMar>
              <w:top w:w="60" w:type="dxa"/>
              <w:start w:w="60" w:type="dxa"/>
              <w:bottom w:w="60" w:type="dxa"/>
              <w:end w:w="60" w:type="dxa"/>
            </w:tcMar>
          </w:tcPr>
          <w:p>
            <w:pPr>
              <w:spacing w:after="0" w:before="0"/>
            </w:pPr>
            <w:r/>
            <w:r>
              <w:rPr>
                <w:rFonts w:ascii="Aptos" w:hAnsi="Aptos"/>
                <w:b w:val="0"/>
                <w:sz w:val="13"/>
              </w:rPr>
              <w:t>Partiel non conforme — Une fonctionnalité commencée mais incomplète doit être marquée PARTIEL, pas CONFORME.</w:t>
            </w:r>
          </w:p>
        </w:tc>
        <w:tc>
          <w:tcPr>
            <w:tcW w:type="dxa" w:w="4082"/>
            <w:vAlign w:val="top"/>
            <w:tcMar>
              <w:top w:w="60" w:type="dxa"/>
              <w:start w:w="60" w:type="dxa"/>
              <w:bottom w:w="60" w:type="dxa"/>
              <w:end w:w="60" w:type="dxa"/>
            </w:tcMar>
          </w:tcPr>
          <w:p>
            <w:pPr>
              <w:spacing w:after="0" w:before="0"/>
            </w:pPr>
            <w:r/>
            <w:r>
              <w:rPr>
                <w:rFonts w:ascii="Aptos" w:hAnsi="Aptos"/>
                <w:b w:val="0"/>
                <w:sz w:val="13"/>
              </w:rPr>
              <w:t>Tous critères d’acceptation obligatoires sont cochés avant statut conforme.</w:t>
            </w:r>
          </w:p>
        </w:tc>
        <w:tc>
          <w:tcPr>
            <w:tcW w:type="dxa" w:w="1701"/>
            <w:vAlign w:val="top"/>
            <w:tcMar>
              <w:top w:w="60" w:type="dxa"/>
              <w:start w:w="60" w:type="dxa"/>
              <w:bottom w:w="60" w:type="dxa"/>
              <w:end w:w="60" w:type="dxa"/>
            </w:tcMar>
          </w:tcPr>
          <w:p>
            <w:pPr>
              <w:spacing w:after="0" w:before="0"/>
            </w:pPr>
            <w:r/>
            <w:r>
              <w:rPr>
                <w:rFonts w:ascii="Aptos" w:hAnsi="Aptos"/>
                <w:b w:val="0"/>
                <w:sz w:val="13"/>
              </w:rPr>
              <w:t>Méthode audit + Stage10</w:t>
            </w:r>
          </w:p>
        </w:tc>
        <w:tc>
          <w:tcPr>
            <w:tcW w:type="dxa" w:w="1474"/>
            <w:vAlign w:val="top"/>
            <w:tcMar>
              <w:top w:w="60" w:type="dxa"/>
              <w:start w:w="60" w:type="dxa"/>
              <w:bottom w:w="60" w:type="dxa"/>
              <w:end w:w="60" w:type="dxa"/>
            </w:tcMar>
            <w:shd w:fill="E2F0D9"/>
          </w:tcPr>
          <w:p>
            <w:pPr>
              <w:spacing w:after="0" w:before="0"/>
            </w:pPr>
            <w:r/>
            <w:r>
              <w:rPr>
                <w:rFonts w:ascii="Aptos" w:hAnsi="Aptos"/>
                <w:b/>
                <w:sz w:val="13"/>
              </w:rPr>
              <w:t>CONFORME</w:t>
            </w:r>
          </w:p>
        </w:tc>
        <w:tc>
          <w:tcPr>
            <w:tcW w:type="dxa" w:w="2948"/>
            <w:vAlign w:val="top"/>
            <w:tcMar>
              <w:top w:w="60" w:type="dxa"/>
              <w:start w:w="60" w:type="dxa"/>
              <w:bottom w:w="60" w:type="dxa"/>
              <w:end w:w="60" w:type="dxa"/>
            </w:tcMar>
          </w:tcPr>
          <w:p>
            <w:pPr>
              <w:spacing w:after="0" w:before="0"/>
            </w:pPr>
            <w:r/>
            <w:r>
              <w:rPr>
                <w:rFonts w:ascii="Aptos" w:hAnsi="Aptos"/>
                <w:b w:val="0"/>
                <w:sz w:val="13"/>
              </w:rPr>
              <w:t>Méthode de ce document.</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REQ-QA-003</w:t>
            </w:r>
          </w:p>
        </w:tc>
        <w:tc>
          <w:tcPr>
            <w:tcW w:type="dxa" w:w="4535"/>
            <w:vAlign w:val="top"/>
            <w:tcMar>
              <w:top w:w="60" w:type="dxa"/>
              <w:start w:w="60" w:type="dxa"/>
              <w:bottom w:w="60" w:type="dxa"/>
              <w:end w:w="60" w:type="dxa"/>
            </w:tcMar>
          </w:tcPr>
          <w:p>
            <w:pPr>
              <w:spacing w:after="0" w:before="0"/>
            </w:pPr>
            <w:r/>
            <w:r>
              <w:rPr>
                <w:rFonts w:ascii="Aptos" w:hAnsi="Aptos"/>
                <w:b w:val="0"/>
                <w:sz w:val="13"/>
              </w:rPr>
              <w:t>Tests unité — La logique déterministe critique doit avoir des tests unitaires.</w:t>
            </w:r>
          </w:p>
        </w:tc>
        <w:tc>
          <w:tcPr>
            <w:tcW w:type="dxa" w:w="4082"/>
            <w:vAlign w:val="top"/>
            <w:tcMar>
              <w:top w:w="60" w:type="dxa"/>
              <w:start w:w="60" w:type="dxa"/>
              <w:bottom w:w="60" w:type="dxa"/>
              <w:end w:w="60" w:type="dxa"/>
            </w:tcMar>
          </w:tcPr>
          <w:p>
            <w:pPr>
              <w:spacing w:after="0" w:before="0"/>
            </w:pPr>
            <w:r/>
            <w:r>
              <w:rPr>
                <w:rFonts w:ascii="Aptos" w:hAnsi="Aptos"/>
                <w:b w:val="0"/>
                <w:sz w:val="13"/>
              </w:rPr>
              <w:t>Permissions/policies/planning ont matrices de vérité adaptées.</w:t>
            </w:r>
          </w:p>
        </w:tc>
        <w:tc>
          <w:tcPr>
            <w:tcW w:type="dxa" w:w="1701"/>
            <w:vAlign w:val="top"/>
            <w:tcMar>
              <w:top w:w="60" w:type="dxa"/>
              <w:start w:w="60" w:type="dxa"/>
              <w:bottom w:w="60" w:type="dxa"/>
              <w:end w:w="60" w:type="dxa"/>
            </w:tcMar>
          </w:tcPr>
          <w:p>
            <w:pPr>
              <w:spacing w:after="0" w:before="0"/>
            </w:pPr>
            <w:r/>
            <w:r>
              <w:rPr>
                <w:rFonts w:ascii="Aptos" w:hAnsi="Aptos"/>
                <w:b w:val="0"/>
                <w:sz w:val="13"/>
              </w:rPr>
              <w:t>Méthode audit + Stage10</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Permissions/planning fortement testés; futur Policy Engine absent.</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REQ-QA-004</w:t>
            </w:r>
          </w:p>
        </w:tc>
        <w:tc>
          <w:tcPr>
            <w:tcW w:type="dxa" w:w="4535"/>
            <w:vAlign w:val="top"/>
            <w:tcMar>
              <w:top w:w="60" w:type="dxa"/>
              <w:start w:w="60" w:type="dxa"/>
              <w:bottom w:w="60" w:type="dxa"/>
              <w:end w:w="60" w:type="dxa"/>
            </w:tcMar>
          </w:tcPr>
          <w:p>
            <w:pPr>
              <w:spacing w:after="0" w:before="0"/>
            </w:pPr>
            <w:r/>
            <w:r>
              <w:rPr>
                <w:rFonts w:ascii="Aptos" w:hAnsi="Aptos"/>
                <w:b w:val="0"/>
                <w:sz w:val="13"/>
              </w:rPr>
              <w:t>Tests intégration DB — Les invariants tenant/persistance doivent être testés sur PostgreSQL réel lorsque pertinent.</w:t>
            </w:r>
          </w:p>
        </w:tc>
        <w:tc>
          <w:tcPr>
            <w:tcW w:type="dxa" w:w="4082"/>
            <w:vAlign w:val="top"/>
            <w:tcMar>
              <w:top w:w="60" w:type="dxa"/>
              <w:start w:w="60" w:type="dxa"/>
              <w:bottom w:w="60" w:type="dxa"/>
              <w:end w:w="60" w:type="dxa"/>
            </w:tcMar>
          </w:tcPr>
          <w:p>
            <w:pPr>
              <w:spacing w:after="0" w:before="0"/>
            </w:pPr>
            <w:r/>
            <w:r>
              <w:rPr>
                <w:rFonts w:ascii="Aptos" w:hAnsi="Aptos"/>
                <w:b w:val="0"/>
                <w:sz w:val="13"/>
              </w:rPr>
              <w:t>RLS, contraintes et transactions incluses.</w:t>
            </w:r>
          </w:p>
        </w:tc>
        <w:tc>
          <w:tcPr>
            <w:tcW w:type="dxa" w:w="1701"/>
            <w:vAlign w:val="top"/>
            <w:tcMar>
              <w:top w:w="60" w:type="dxa"/>
              <w:start w:w="60" w:type="dxa"/>
              <w:bottom w:w="60" w:type="dxa"/>
              <w:end w:w="60" w:type="dxa"/>
            </w:tcMar>
          </w:tcPr>
          <w:p>
            <w:pPr>
              <w:spacing w:after="0" w:before="0"/>
            </w:pPr>
            <w:r/>
            <w:r>
              <w:rPr>
                <w:rFonts w:ascii="Aptos" w:hAnsi="Aptos"/>
                <w:b w:val="0"/>
                <w:sz w:val="13"/>
              </w:rPr>
              <w:t>Méthode audit + Stage10</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Historique Stage10 affirme couverture; pas tout réexécuté.</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REQ-QA-005</w:t>
            </w:r>
          </w:p>
        </w:tc>
        <w:tc>
          <w:tcPr>
            <w:tcW w:type="dxa" w:w="4535"/>
            <w:vAlign w:val="top"/>
            <w:tcMar>
              <w:top w:w="60" w:type="dxa"/>
              <w:start w:w="60" w:type="dxa"/>
              <w:bottom w:w="60" w:type="dxa"/>
              <w:end w:w="60" w:type="dxa"/>
            </w:tcMar>
          </w:tcPr>
          <w:p>
            <w:pPr>
              <w:spacing w:after="0" w:before="0"/>
            </w:pPr>
            <w:r/>
            <w:r>
              <w:rPr>
                <w:rFonts w:ascii="Aptos" w:hAnsi="Aptos"/>
                <w:b w:val="0"/>
                <w:sz w:val="13"/>
              </w:rPr>
              <w:t>Tests API — Les autorisations/erreurs critiques doivent avoir des tests API.</w:t>
            </w:r>
          </w:p>
        </w:tc>
        <w:tc>
          <w:tcPr>
            <w:tcW w:type="dxa" w:w="4082"/>
            <w:vAlign w:val="top"/>
            <w:tcMar>
              <w:top w:w="60" w:type="dxa"/>
              <w:start w:w="60" w:type="dxa"/>
              <w:bottom w:w="60" w:type="dxa"/>
              <w:end w:w="60" w:type="dxa"/>
            </w:tcMar>
          </w:tcPr>
          <w:p>
            <w:pPr>
              <w:spacing w:after="0" w:before="0"/>
            </w:pPr>
            <w:r/>
            <w:r>
              <w:rPr>
                <w:rFonts w:ascii="Aptos" w:hAnsi="Aptos"/>
                <w:b w:val="0"/>
                <w:sz w:val="13"/>
              </w:rPr>
              <w:t>Inclut cross-tenant et absence d’effet secondaire.</w:t>
            </w:r>
          </w:p>
        </w:tc>
        <w:tc>
          <w:tcPr>
            <w:tcW w:type="dxa" w:w="1701"/>
            <w:vAlign w:val="top"/>
            <w:tcMar>
              <w:top w:w="60" w:type="dxa"/>
              <w:start w:w="60" w:type="dxa"/>
              <w:bottom w:w="60" w:type="dxa"/>
              <w:end w:w="60" w:type="dxa"/>
            </w:tcMar>
          </w:tcPr>
          <w:p>
            <w:pPr>
              <w:spacing w:after="0" w:before="0"/>
            </w:pPr>
            <w:r/>
            <w:r>
              <w:rPr>
                <w:rFonts w:ascii="Aptos" w:hAnsi="Aptos"/>
                <w:b w:val="0"/>
                <w:sz w:val="13"/>
              </w:rPr>
              <w:t>Méthode audit + Stage10</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Suite importante déclarée; audit indépendant exhaustif non reproduit.</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REQ-QA-006</w:t>
            </w:r>
          </w:p>
        </w:tc>
        <w:tc>
          <w:tcPr>
            <w:tcW w:type="dxa" w:w="4535"/>
            <w:vAlign w:val="top"/>
            <w:tcMar>
              <w:top w:w="60" w:type="dxa"/>
              <w:start w:w="60" w:type="dxa"/>
              <w:bottom w:w="60" w:type="dxa"/>
              <w:end w:w="60" w:type="dxa"/>
            </w:tcMar>
          </w:tcPr>
          <w:p>
            <w:pPr>
              <w:spacing w:after="0" w:before="0"/>
            </w:pPr>
            <w:r/>
            <w:r>
              <w:rPr>
                <w:rFonts w:ascii="Aptos" w:hAnsi="Aptos"/>
                <w:b w:val="0"/>
                <w:sz w:val="13"/>
              </w:rPr>
              <w:t>Tests E2E — Les flows critiques doivent avoir E2E navigateur.</w:t>
            </w:r>
          </w:p>
        </w:tc>
        <w:tc>
          <w:tcPr>
            <w:tcW w:type="dxa" w:w="4082"/>
            <w:vAlign w:val="top"/>
            <w:tcMar>
              <w:top w:w="60" w:type="dxa"/>
              <w:start w:w="60" w:type="dxa"/>
              <w:bottom w:w="60" w:type="dxa"/>
              <w:end w:w="60" w:type="dxa"/>
            </w:tcMar>
          </w:tcPr>
          <w:p>
            <w:pPr>
              <w:spacing w:after="0" w:before="0"/>
            </w:pPr>
            <w:r/>
            <w:r>
              <w:rPr>
                <w:rFonts w:ascii="Aptos" w:hAnsi="Aptos"/>
                <w:b w:val="0"/>
                <w:sz w:val="13"/>
              </w:rPr>
              <w:t>Flux utilisateur réel jusqu’au résultat serveur.</w:t>
            </w:r>
          </w:p>
        </w:tc>
        <w:tc>
          <w:tcPr>
            <w:tcW w:type="dxa" w:w="1701"/>
            <w:vAlign w:val="top"/>
            <w:tcMar>
              <w:top w:w="60" w:type="dxa"/>
              <w:start w:w="60" w:type="dxa"/>
              <w:bottom w:w="60" w:type="dxa"/>
              <w:end w:w="60" w:type="dxa"/>
            </w:tcMar>
          </w:tcPr>
          <w:p>
            <w:pPr>
              <w:spacing w:after="0" w:before="0"/>
            </w:pPr>
            <w:r/>
            <w:r>
              <w:rPr>
                <w:rFonts w:ascii="Aptos" w:hAnsi="Aptos"/>
                <w:b w:val="0"/>
                <w:sz w:val="13"/>
              </w:rPr>
              <w:t>Méthode audit + Stage10</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Stage07-10 E2E existent; nouveaux Wizards/Policies non couverts.</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REQ-QA-007</w:t>
            </w:r>
          </w:p>
        </w:tc>
        <w:tc>
          <w:tcPr>
            <w:tcW w:type="dxa" w:w="4535"/>
            <w:vAlign w:val="top"/>
            <w:tcMar>
              <w:top w:w="60" w:type="dxa"/>
              <w:start w:w="60" w:type="dxa"/>
              <w:bottom w:w="60" w:type="dxa"/>
              <w:end w:w="60" w:type="dxa"/>
            </w:tcMar>
          </w:tcPr>
          <w:p>
            <w:pPr>
              <w:spacing w:after="0" w:before="0"/>
            </w:pPr>
            <w:r/>
            <w:r>
              <w:rPr>
                <w:rFonts w:ascii="Aptos" w:hAnsi="Aptos"/>
                <w:b w:val="0"/>
                <w:sz w:val="13"/>
              </w:rPr>
              <w:t>Tests reconnect — Les opérations persistantes doivent être testées après reload/logout-login/reconnexion.</w:t>
            </w:r>
          </w:p>
        </w:tc>
        <w:tc>
          <w:tcPr>
            <w:tcW w:type="dxa" w:w="4082"/>
            <w:vAlign w:val="top"/>
            <w:tcMar>
              <w:top w:w="60" w:type="dxa"/>
              <w:start w:w="60" w:type="dxa"/>
              <w:bottom w:w="60" w:type="dxa"/>
              <w:end w:w="60" w:type="dxa"/>
            </w:tcMar>
          </w:tcPr>
          <w:p>
            <w:pPr>
              <w:spacing w:after="0" w:before="0"/>
            </w:pPr>
            <w:r/>
            <w:r>
              <w:rPr>
                <w:rFonts w:ascii="Aptos" w:hAnsi="Aptos"/>
                <w:b w:val="0"/>
                <w:sz w:val="13"/>
              </w:rPr>
              <w:t>Le même job/plan est retrouvable et son état final cohérent.</w:t>
            </w:r>
          </w:p>
        </w:tc>
        <w:tc>
          <w:tcPr>
            <w:tcW w:type="dxa" w:w="1701"/>
            <w:vAlign w:val="top"/>
            <w:tcMar>
              <w:top w:w="60" w:type="dxa"/>
              <w:start w:w="60" w:type="dxa"/>
              <w:bottom w:w="60" w:type="dxa"/>
              <w:end w:w="60" w:type="dxa"/>
            </w:tcMar>
          </w:tcPr>
          <w:p>
            <w:pPr>
              <w:spacing w:after="0" w:before="0"/>
            </w:pPr>
            <w:r/>
            <w:r>
              <w:rPr>
                <w:rFonts w:ascii="Aptos" w:hAnsi="Aptos"/>
                <w:b w:val="0"/>
                <w:sz w:val="13"/>
              </w:rPr>
              <w:t>Méthode audit + Stage10</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Aucune preuve spécifique identifiée.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REQ-QA-008</w:t>
            </w:r>
          </w:p>
        </w:tc>
        <w:tc>
          <w:tcPr>
            <w:tcW w:type="dxa" w:w="4535"/>
            <w:vAlign w:val="top"/>
            <w:tcMar>
              <w:top w:w="60" w:type="dxa"/>
              <w:start w:w="60" w:type="dxa"/>
              <w:bottom w:w="60" w:type="dxa"/>
              <w:end w:w="60" w:type="dxa"/>
            </w:tcMar>
          </w:tcPr>
          <w:p>
            <w:pPr>
              <w:spacing w:after="0" w:before="0"/>
            </w:pPr>
            <w:r/>
            <w:r>
              <w:rPr>
                <w:rFonts w:ascii="Aptos" w:hAnsi="Aptos"/>
                <w:b w:val="0"/>
                <w:sz w:val="13"/>
              </w:rPr>
              <w:t>Tests brouillons — Apply/Discard doit être testé, y compris purge du payload.</w:t>
            </w:r>
          </w:p>
        </w:tc>
        <w:tc>
          <w:tcPr>
            <w:tcW w:type="dxa" w:w="4082"/>
            <w:vAlign w:val="top"/>
            <w:tcMar>
              <w:top w:w="60" w:type="dxa"/>
              <w:start w:w="60" w:type="dxa"/>
              <w:bottom w:w="60" w:type="dxa"/>
              <w:end w:w="60" w:type="dxa"/>
            </w:tcMar>
          </w:tcPr>
          <w:p>
            <w:pPr>
              <w:spacing w:after="0" w:before="0"/>
            </w:pPr>
            <w:r/>
            <w:r>
              <w:rPr>
                <w:rFonts w:ascii="Aptos" w:hAnsi="Aptos"/>
                <w:b w:val="0"/>
                <w:sz w:val="13"/>
              </w:rPr>
              <w:t>Après discard, payload non récupérable; audit minimal conforme.</w:t>
            </w:r>
          </w:p>
        </w:tc>
        <w:tc>
          <w:tcPr>
            <w:tcW w:type="dxa" w:w="1701"/>
            <w:vAlign w:val="top"/>
            <w:tcMar>
              <w:top w:w="60" w:type="dxa"/>
              <w:start w:w="60" w:type="dxa"/>
              <w:bottom w:w="60" w:type="dxa"/>
              <w:end w:w="60" w:type="dxa"/>
            </w:tcMar>
          </w:tcPr>
          <w:p>
            <w:pPr>
              <w:spacing w:after="0" w:before="0"/>
            </w:pPr>
            <w:r/>
            <w:r>
              <w:rPr>
                <w:rFonts w:ascii="Aptos" w:hAnsi="Aptos"/>
                <w:b w:val="0"/>
                <w:sz w:val="13"/>
              </w:rPr>
              <w:t>Méthode audit + Stage10</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Fonction non démontrée.</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REQ-QA-009</w:t>
            </w:r>
          </w:p>
        </w:tc>
        <w:tc>
          <w:tcPr>
            <w:tcW w:type="dxa" w:w="4535"/>
            <w:vAlign w:val="top"/>
            <w:tcMar>
              <w:top w:w="60" w:type="dxa"/>
              <w:start w:w="60" w:type="dxa"/>
              <w:bottom w:w="60" w:type="dxa"/>
              <w:end w:w="60" w:type="dxa"/>
            </w:tcMar>
          </w:tcPr>
          <w:p>
            <w:pPr>
              <w:spacing w:after="0" w:before="0"/>
            </w:pPr>
            <w:r/>
            <w:r>
              <w:rPr>
                <w:rFonts w:ascii="Aptos" w:hAnsi="Aptos"/>
                <w:b w:val="0"/>
                <w:sz w:val="13"/>
              </w:rPr>
              <w:t>Tests Policies — Le futur Policy Engine doit avoir matrice conflit/héritage/priority/unknown.</w:t>
            </w:r>
          </w:p>
        </w:tc>
        <w:tc>
          <w:tcPr>
            <w:tcW w:type="dxa" w:w="4082"/>
            <w:vAlign w:val="top"/>
            <w:tcMar>
              <w:top w:w="60" w:type="dxa"/>
              <w:start w:w="60" w:type="dxa"/>
              <w:bottom w:w="60" w:type="dxa"/>
              <w:end w:w="60" w:type="dxa"/>
            </w:tcMar>
          </w:tcPr>
          <w:p>
            <w:pPr>
              <w:spacing w:after="0" w:before="0"/>
            </w:pPr>
            <w:r/>
            <w:r>
              <w:rPr>
                <w:rFonts w:ascii="Aptos" w:hAnsi="Aptos"/>
                <w:b w:val="0"/>
                <w:sz w:val="13"/>
              </w:rPr>
              <w:t>Couverture de branches critique mesurable.</w:t>
            </w:r>
          </w:p>
        </w:tc>
        <w:tc>
          <w:tcPr>
            <w:tcW w:type="dxa" w:w="1701"/>
            <w:vAlign w:val="top"/>
            <w:tcMar>
              <w:top w:w="60" w:type="dxa"/>
              <w:start w:w="60" w:type="dxa"/>
              <w:bottom w:w="60" w:type="dxa"/>
              <w:end w:w="60" w:type="dxa"/>
            </w:tcMar>
          </w:tcPr>
          <w:p>
            <w:pPr>
              <w:spacing w:after="0" w:before="0"/>
            </w:pPr>
            <w:r/>
            <w:r>
              <w:rPr>
                <w:rFonts w:ascii="Aptos" w:hAnsi="Aptos"/>
                <w:b w:val="0"/>
                <w:sz w:val="13"/>
              </w:rPr>
              <w:t>Méthode audit + Stage10</w:t>
            </w:r>
          </w:p>
        </w:tc>
        <w:tc>
          <w:tcPr>
            <w:tcW w:type="dxa" w:w="1474"/>
            <w:vAlign w:val="top"/>
            <w:tcMar>
              <w:top w:w="60" w:type="dxa"/>
              <w:start w:w="60" w:type="dxa"/>
              <w:bottom w:w="60" w:type="dxa"/>
              <w:end w:w="60" w:type="dxa"/>
            </w:tcMar>
            <w:shd w:fill="F4CCCC"/>
          </w:tcPr>
          <w:p>
            <w:pPr>
              <w:spacing w:after="0" w:before="0"/>
            </w:pPr>
            <w:r/>
            <w:r>
              <w:rPr>
                <w:rFonts w:ascii="Aptos" w:hAnsi="Aptos"/>
                <w:b/>
                <w:sz w:val="13"/>
              </w:rPr>
              <w:t>ABSENT</w:t>
            </w:r>
          </w:p>
        </w:tc>
        <w:tc>
          <w:tcPr>
            <w:tcW w:type="dxa" w:w="2948"/>
            <w:vAlign w:val="top"/>
            <w:tcMar>
              <w:top w:w="60" w:type="dxa"/>
              <w:start w:w="60" w:type="dxa"/>
              <w:bottom w:w="60" w:type="dxa"/>
              <w:end w:w="60" w:type="dxa"/>
            </w:tcMar>
          </w:tcPr>
          <w:p>
            <w:pPr>
              <w:spacing w:after="0" w:before="0"/>
            </w:pPr>
            <w:r/>
            <w:r>
              <w:rPr>
                <w:rFonts w:ascii="Aptos" w:hAnsi="Aptos"/>
                <w:b w:val="0"/>
                <w:sz w:val="13"/>
              </w:rPr>
              <w:t>Moteur absent.</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REQ-QA-010</w:t>
            </w:r>
          </w:p>
        </w:tc>
        <w:tc>
          <w:tcPr>
            <w:tcW w:type="dxa" w:w="4535"/>
            <w:vAlign w:val="top"/>
            <w:tcMar>
              <w:top w:w="60" w:type="dxa"/>
              <w:start w:w="60" w:type="dxa"/>
              <w:bottom w:w="60" w:type="dxa"/>
              <w:end w:w="60" w:type="dxa"/>
            </w:tcMar>
          </w:tcPr>
          <w:p>
            <w:pPr>
              <w:spacing w:after="0" w:before="0"/>
            </w:pPr>
            <w:r/>
            <w:r>
              <w:rPr>
                <w:rFonts w:ascii="Aptos" w:hAnsi="Aptos"/>
                <w:b w:val="0"/>
                <w:sz w:val="13"/>
              </w:rPr>
              <w:t>A11y sans skip critique — Les scans d’accessibilité critiques ne doivent pas rester optionnels pour la release cible.</w:t>
            </w:r>
          </w:p>
        </w:tc>
        <w:tc>
          <w:tcPr>
            <w:tcW w:type="dxa" w:w="4082"/>
            <w:vAlign w:val="top"/>
            <w:tcMar>
              <w:top w:w="60" w:type="dxa"/>
              <w:start w:w="60" w:type="dxa"/>
              <w:bottom w:w="60" w:type="dxa"/>
              <w:end w:w="60" w:type="dxa"/>
            </w:tcMar>
          </w:tcPr>
          <w:p>
            <w:pPr>
              <w:spacing w:after="0" w:before="0"/>
            </w:pPr>
            <w:r/>
            <w:r>
              <w:rPr>
                <w:rFonts w:ascii="Aptos" w:hAnsi="Aptos"/>
                <w:b w:val="0"/>
                <w:sz w:val="13"/>
              </w:rPr>
              <w:t>Aucun skip sérieux/critique inexpliqué dans la gate finale.</w:t>
            </w:r>
          </w:p>
        </w:tc>
        <w:tc>
          <w:tcPr>
            <w:tcW w:type="dxa" w:w="1701"/>
            <w:vAlign w:val="top"/>
            <w:tcMar>
              <w:top w:w="60" w:type="dxa"/>
              <w:start w:w="60" w:type="dxa"/>
              <w:bottom w:w="60" w:type="dxa"/>
              <w:end w:w="60" w:type="dxa"/>
            </w:tcMar>
          </w:tcPr>
          <w:p>
            <w:pPr>
              <w:spacing w:after="0" w:before="0"/>
            </w:pPr>
            <w:r/>
            <w:r>
              <w:rPr>
                <w:rFonts w:ascii="Aptos" w:hAnsi="Aptos"/>
                <w:b w:val="0"/>
                <w:sz w:val="13"/>
              </w:rPr>
              <w:t>Méthode audit + Stage10</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artifacts/stage10-audit/skipped-tests.txt montre des scans conditionnels/skip.</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REQ-QA-011</w:t>
            </w:r>
          </w:p>
        </w:tc>
        <w:tc>
          <w:tcPr>
            <w:tcW w:type="dxa" w:w="4535"/>
            <w:vAlign w:val="top"/>
            <w:tcMar>
              <w:top w:w="60" w:type="dxa"/>
              <w:start w:w="60" w:type="dxa"/>
              <w:bottom w:w="60" w:type="dxa"/>
              <w:end w:w="60" w:type="dxa"/>
            </w:tcMar>
          </w:tcPr>
          <w:p>
            <w:pPr>
              <w:spacing w:after="0" w:before="0"/>
            </w:pPr>
            <w:r/>
            <w:r>
              <w:rPr>
                <w:rFonts w:ascii="Aptos" w:hAnsi="Aptos"/>
                <w:b w:val="0"/>
                <w:sz w:val="13"/>
              </w:rPr>
              <w:t>Live A/B actuel — La clôture acceptance doit disposer d’un agrégat live A/B courant quand l’exigence le requiert.</w:t>
            </w:r>
          </w:p>
        </w:tc>
        <w:tc>
          <w:tcPr>
            <w:tcW w:type="dxa" w:w="4082"/>
            <w:vAlign w:val="top"/>
            <w:tcMar>
              <w:top w:w="60" w:type="dxa"/>
              <w:start w:w="60" w:type="dxa"/>
              <w:bottom w:w="60" w:type="dxa"/>
              <w:end w:w="60" w:type="dxa"/>
            </w:tcMar>
          </w:tcPr>
          <w:p>
            <w:pPr>
              <w:spacing w:after="0" w:before="0"/>
            </w:pPr>
            <w:r/>
            <w:r>
              <w:rPr>
                <w:rFonts w:ascii="Aptos" w:hAnsi="Aptos"/>
                <w:b w:val="0"/>
                <w:sz w:val="13"/>
              </w:rPr>
              <w:t>Rapports corrélés au commit/branche audité.</w:t>
            </w:r>
          </w:p>
        </w:tc>
        <w:tc>
          <w:tcPr>
            <w:tcW w:type="dxa" w:w="1701"/>
            <w:vAlign w:val="top"/>
            <w:tcMar>
              <w:top w:w="60" w:type="dxa"/>
              <w:start w:w="60" w:type="dxa"/>
              <w:bottom w:w="60" w:type="dxa"/>
              <w:end w:w="60" w:type="dxa"/>
            </w:tcMar>
          </w:tcPr>
          <w:p>
            <w:pPr>
              <w:spacing w:after="0" w:before="0"/>
            </w:pPr>
            <w:r/>
            <w:r>
              <w:rPr>
                <w:rFonts w:ascii="Aptos" w:hAnsi="Aptos"/>
                <w:b w:val="0"/>
                <w:sz w:val="13"/>
              </w:rPr>
              <w:t>Méthode audit + Stage10</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REQ-TEST-003 dans registre: implémenté mais agrégat courant non fourni à ce rendu.</w:t>
            </w:r>
          </w:p>
        </w:tc>
      </w:tr>
      <w:tr>
        <w:trPr>
          <w:cantSplit/>
        </w:trPr>
        <w:tc>
          <w:tcPr>
            <w:tcW w:type="dxa" w:w="1247"/>
            <w:vAlign w:val="top"/>
            <w:tcMar>
              <w:top w:w="60" w:type="dxa"/>
              <w:start w:w="60" w:type="dxa"/>
              <w:bottom w:w="60" w:type="dxa"/>
              <w:end w:w="60" w:type="dxa"/>
            </w:tcMar>
          </w:tcPr>
          <w:p>
            <w:pPr>
              <w:spacing w:after="0" w:before="0"/>
            </w:pPr>
            <w:r/>
            <w:r>
              <w:rPr>
                <w:rFonts w:ascii="Aptos" w:hAnsi="Aptos"/>
                <w:b/>
                <w:sz w:val="13"/>
              </w:rPr>
              <w:t>REQ-QA-012</w:t>
            </w:r>
          </w:p>
        </w:tc>
        <w:tc>
          <w:tcPr>
            <w:tcW w:type="dxa" w:w="4535"/>
            <w:vAlign w:val="top"/>
            <w:tcMar>
              <w:top w:w="60" w:type="dxa"/>
              <w:start w:w="60" w:type="dxa"/>
              <w:bottom w:w="60" w:type="dxa"/>
              <w:end w:w="60" w:type="dxa"/>
            </w:tcMar>
          </w:tcPr>
          <w:p>
            <w:pPr>
              <w:spacing w:after="0" w:before="0"/>
            </w:pPr>
            <w:r/>
            <w:r>
              <w:rPr>
                <w:rFonts w:ascii="Aptos" w:hAnsi="Aptos"/>
                <w:b w:val="0"/>
                <w:sz w:val="13"/>
              </w:rPr>
              <w:t>Preuve reproductible — Chaque preuve de conformité doit pointer vers code/test/commande ou artifact reproductible.</w:t>
            </w:r>
          </w:p>
        </w:tc>
        <w:tc>
          <w:tcPr>
            <w:tcW w:type="dxa" w:w="4082"/>
            <w:vAlign w:val="top"/>
            <w:tcMar>
              <w:top w:w="60" w:type="dxa"/>
              <w:start w:w="60" w:type="dxa"/>
              <w:bottom w:w="60" w:type="dxa"/>
              <w:end w:w="60" w:type="dxa"/>
            </w:tcMar>
          </w:tcPr>
          <w:p>
            <w:pPr>
              <w:spacing w:after="0" w:before="0"/>
            </w:pPr>
            <w:r/>
            <w:r>
              <w:rPr>
                <w:rFonts w:ascii="Aptos" w:hAnsi="Aptos"/>
                <w:b w:val="0"/>
                <w:sz w:val="13"/>
              </w:rPr>
              <w:t>Un simple “VERIFIED” sans preuve ciblée n’est pas suffisant pour audit indépendant.</w:t>
            </w:r>
          </w:p>
        </w:tc>
        <w:tc>
          <w:tcPr>
            <w:tcW w:type="dxa" w:w="1701"/>
            <w:vAlign w:val="top"/>
            <w:tcMar>
              <w:top w:w="60" w:type="dxa"/>
              <w:start w:w="60" w:type="dxa"/>
              <w:bottom w:w="60" w:type="dxa"/>
              <w:end w:w="60" w:type="dxa"/>
            </w:tcMar>
          </w:tcPr>
          <w:p>
            <w:pPr>
              <w:spacing w:after="0" w:before="0"/>
            </w:pPr>
            <w:r/>
            <w:r>
              <w:rPr>
                <w:rFonts w:ascii="Aptos" w:hAnsi="Aptos"/>
                <w:b w:val="0"/>
                <w:sz w:val="13"/>
              </w:rPr>
              <w:t>Méthode audit + Stage10</w:t>
            </w:r>
          </w:p>
        </w:tc>
        <w:tc>
          <w:tcPr>
            <w:tcW w:type="dxa" w:w="1474"/>
            <w:vAlign w:val="top"/>
            <w:tcMar>
              <w:top w:w="60" w:type="dxa"/>
              <w:start w:w="60" w:type="dxa"/>
              <w:bottom w:w="60" w:type="dxa"/>
              <w:end w:w="60" w:type="dxa"/>
            </w:tcMar>
            <w:shd w:fill="FFF2CC"/>
          </w:tcPr>
          <w:p>
            <w:pPr>
              <w:spacing w:after="0" w:before="0"/>
            </w:pPr>
            <w:r/>
            <w:r>
              <w:rPr>
                <w:rFonts w:ascii="Aptos" w:hAnsi="Aptos"/>
                <w:b/>
                <w:sz w:val="13"/>
              </w:rPr>
              <w:t>PARTIEL</w:t>
            </w:r>
          </w:p>
        </w:tc>
        <w:tc>
          <w:tcPr>
            <w:tcW w:type="dxa" w:w="2948"/>
            <w:vAlign w:val="top"/>
            <w:tcMar>
              <w:top w:w="60" w:type="dxa"/>
              <w:start w:w="60" w:type="dxa"/>
              <w:bottom w:w="60" w:type="dxa"/>
              <w:end w:w="60" w:type="dxa"/>
            </w:tcMar>
          </w:tcPr>
          <w:p>
            <w:pPr>
              <w:spacing w:after="0" w:before="0"/>
            </w:pPr>
            <w:r/>
            <w:r>
              <w:rPr>
                <w:rFonts w:ascii="Aptos" w:hAnsi="Aptos"/>
                <w:b w:val="0"/>
                <w:sz w:val="13"/>
              </w:rPr>
              <w:t>Registre contient preuves, mais leur réexécution indépendante n’a pas été exhaustive ici.</w:t>
            </w:r>
          </w:p>
        </w:tc>
      </w:tr>
    </w:tbl>
    <w:p/>
    <w:p>
      <w:pPr>
        <w:pStyle w:val="Heading1"/>
      </w:pPr>
      <w:r>
        <w:t>6. Synthèse chiffrée</w:t>
      </w:r>
    </w:p>
    <w:p>
      <w:r>
        <w:t>Exigences ajoutées/raffinées : 143. Le statut est volontairement conservateur.</w:t>
      </w:r>
    </w:p>
    <w:tbl>
      <w:tblPr>
        <w:tblW w:type="auto" w:w="0"/>
        <w:jc w:val="center"/>
        <w:tblLayout w:type="fixed"/>
        <w:tblLook w:firstColumn="1" w:firstRow="1" w:lastColumn="0" w:lastRow="0" w:noHBand="0" w:noVBand="1" w:val="04A0"/>
      </w:tblPr>
      <w:tblGrid>
        <w:gridCol w:w="6803"/>
        <w:gridCol w:w="1701"/>
        <w:gridCol w:w="1701"/>
        <w:gridCol w:w="1701"/>
        <w:gridCol w:w="2835"/>
      </w:tblGrid>
      <w:tr>
        <w:trPr>
          <w:cantSplit/>
        </w:trPr>
        <w:tc>
          <w:tcPr>
            <w:tcW w:type="dxa" w:w="3096"/>
            <w:vAlign w:val="top"/>
            <w:tcMar>
              <w:top w:w="60" w:type="dxa"/>
              <w:start w:w="60" w:type="dxa"/>
              <w:bottom w:w="60" w:type="dxa"/>
              <w:end w:w="60" w:type="dxa"/>
            </w:tcMar>
            <w:shd w:fill="D9EAF7"/>
          </w:tcPr>
          <w:p>
            <w:pPr>
              <w:spacing w:after="0" w:before="0"/>
            </w:pPr>
            <w:r/>
            <w:r>
              <w:rPr>
                <w:rFonts w:ascii="Aptos" w:hAnsi="Aptos"/>
                <w:b/>
                <w:sz w:val="16"/>
              </w:rPr>
              <w:t>Famille</w:t>
            </w:r>
          </w:p>
        </w:tc>
        <w:tc>
          <w:tcPr>
            <w:tcW w:type="dxa" w:w="3096"/>
            <w:vAlign w:val="top"/>
            <w:tcMar>
              <w:top w:w="60" w:type="dxa"/>
              <w:start w:w="60" w:type="dxa"/>
              <w:bottom w:w="60" w:type="dxa"/>
              <w:end w:w="60" w:type="dxa"/>
            </w:tcMar>
            <w:shd w:fill="D9EAF7"/>
          </w:tcPr>
          <w:p>
            <w:pPr>
              <w:spacing w:after="0" w:before="0"/>
            </w:pPr>
            <w:r/>
            <w:r>
              <w:rPr>
                <w:rFonts w:ascii="Aptos" w:hAnsi="Aptos"/>
                <w:b/>
                <w:sz w:val="16"/>
              </w:rPr>
              <w:t>Total</w:t>
            </w:r>
          </w:p>
        </w:tc>
        <w:tc>
          <w:tcPr>
            <w:tcW w:type="dxa" w:w="3096"/>
            <w:vAlign w:val="top"/>
            <w:tcMar>
              <w:top w:w="60" w:type="dxa"/>
              <w:start w:w="60" w:type="dxa"/>
              <w:bottom w:w="60" w:type="dxa"/>
              <w:end w:w="60" w:type="dxa"/>
            </w:tcMar>
            <w:shd w:fill="D9EAF7"/>
          </w:tcPr>
          <w:p>
            <w:pPr>
              <w:spacing w:after="0" w:before="0"/>
            </w:pPr>
            <w:r/>
            <w:r>
              <w:rPr>
                <w:rFonts w:ascii="Aptos" w:hAnsi="Aptos"/>
                <w:b/>
                <w:sz w:val="16"/>
              </w:rPr>
              <w:t>Conforme</w:t>
            </w:r>
          </w:p>
        </w:tc>
        <w:tc>
          <w:tcPr>
            <w:tcW w:type="dxa" w:w="3096"/>
            <w:vAlign w:val="top"/>
            <w:tcMar>
              <w:top w:w="60" w:type="dxa"/>
              <w:start w:w="60" w:type="dxa"/>
              <w:bottom w:w="60" w:type="dxa"/>
              <w:end w:w="60" w:type="dxa"/>
            </w:tcMar>
            <w:shd w:fill="D9EAF7"/>
          </w:tcPr>
          <w:p>
            <w:pPr>
              <w:spacing w:after="0" w:before="0"/>
            </w:pPr>
            <w:r/>
            <w:r>
              <w:rPr>
                <w:rFonts w:ascii="Aptos" w:hAnsi="Aptos"/>
                <w:b/>
                <w:sz w:val="16"/>
              </w:rPr>
              <w:t>Partiel</w:t>
            </w:r>
          </w:p>
        </w:tc>
        <w:tc>
          <w:tcPr>
            <w:tcW w:type="dxa" w:w="3096"/>
            <w:vAlign w:val="top"/>
            <w:tcMar>
              <w:top w:w="60" w:type="dxa"/>
              <w:start w:w="60" w:type="dxa"/>
              <w:bottom w:w="60" w:type="dxa"/>
              <w:end w:w="60" w:type="dxa"/>
            </w:tcMar>
            <w:shd w:fill="D9EAF7"/>
          </w:tcPr>
          <w:p>
            <w:pPr>
              <w:spacing w:after="0" w:before="0"/>
            </w:pPr>
            <w:r/>
            <w:r>
              <w:rPr>
                <w:rFonts w:ascii="Aptos" w:hAnsi="Aptos"/>
                <w:b/>
                <w:sz w:val="16"/>
              </w:rPr>
              <w:t>Absent / non démontré</w:t>
            </w:r>
          </w:p>
        </w:tc>
      </w:tr>
      <w:tr>
        <w:trPr>
          <w:cantSplit/>
        </w:trPr>
        <w:tc>
          <w:tcPr>
            <w:tcW w:type="dxa" w:w="6803"/>
            <w:vAlign w:val="top"/>
            <w:tcMar>
              <w:top w:w="60" w:type="dxa"/>
              <w:start w:w="60" w:type="dxa"/>
              <w:bottom w:w="60" w:type="dxa"/>
              <w:end w:w="60" w:type="dxa"/>
            </w:tcMar>
          </w:tcPr>
          <w:p>
            <w:pPr>
              <w:spacing w:after="0" w:before="0"/>
            </w:pPr>
            <w:r/>
            <w:r>
              <w:rPr>
                <w:rFonts w:ascii="Aptos" w:hAnsi="Aptos"/>
                <w:b/>
                <w:sz w:val="16"/>
              </w:rPr>
              <w:t>POL — Policies — gouvernance générique</w:t>
            </w:r>
          </w:p>
        </w:tc>
        <w:tc>
          <w:tcPr>
            <w:tcW w:type="dxa" w:w="1701"/>
            <w:vAlign w:val="top"/>
            <w:tcMar>
              <w:top w:w="60" w:type="dxa"/>
              <w:start w:w="60" w:type="dxa"/>
              <w:bottom w:w="60" w:type="dxa"/>
              <w:end w:w="60" w:type="dxa"/>
            </w:tcMar>
          </w:tcPr>
          <w:p>
            <w:pPr>
              <w:spacing w:after="0" w:before="0"/>
            </w:pPr>
            <w:r/>
            <w:r>
              <w:rPr>
                <w:rFonts w:ascii="Aptos" w:hAnsi="Aptos"/>
                <w:b w:val="0"/>
                <w:sz w:val="16"/>
              </w:rPr>
              <w:t>53</w:t>
            </w:r>
          </w:p>
        </w:tc>
        <w:tc>
          <w:tcPr>
            <w:tcW w:type="dxa" w:w="1701"/>
            <w:vAlign w:val="top"/>
            <w:tcMar>
              <w:top w:w="60" w:type="dxa"/>
              <w:start w:w="60" w:type="dxa"/>
              <w:bottom w:w="60" w:type="dxa"/>
              <w:end w:w="60" w:type="dxa"/>
            </w:tcMar>
          </w:tcPr>
          <w:p>
            <w:pPr>
              <w:spacing w:after="0" w:before="0"/>
            </w:pPr>
            <w:r/>
            <w:r>
              <w:rPr>
                <w:rFonts w:ascii="Aptos" w:hAnsi="Aptos"/>
                <w:b w:val="0"/>
                <w:sz w:val="16"/>
              </w:rPr>
              <w:t>0</w:t>
            </w:r>
          </w:p>
        </w:tc>
        <w:tc>
          <w:tcPr>
            <w:tcW w:type="dxa" w:w="1701"/>
            <w:vAlign w:val="top"/>
            <w:tcMar>
              <w:top w:w="60" w:type="dxa"/>
              <w:start w:w="60" w:type="dxa"/>
              <w:bottom w:w="60" w:type="dxa"/>
              <w:end w:w="60" w:type="dxa"/>
            </w:tcMar>
          </w:tcPr>
          <w:p>
            <w:pPr>
              <w:spacing w:after="0" w:before="0"/>
            </w:pPr>
            <w:r/>
            <w:r>
              <w:rPr>
                <w:rFonts w:ascii="Aptos" w:hAnsi="Aptos"/>
                <w:b w:val="0"/>
                <w:sz w:val="16"/>
              </w:rPr>
              <w:t>3</w:t>
            </w:r>
          </w:p>
        </w:tc>
        <w:tc>
          <w:tcPr>
            <w:tcW w:type="dxa" w:w="2835"/>
            <w:vAlign w:val="top"/>
            <w:tcMar>
              <w:top w:w="60" w:type="dxa"/>
              <w:start w:w="60" w:type="dxa"/>
              <w:bottom w:w="60" w:type="dxa"/>
              <w:end w:w="60" w:type="dxa"/>
            </w:tcMar>
          </w:tcPr>
          <w:p>
            <w:pPr>
              <w:spacing w:after="0" w:before="0"/>
            </w:pPr>
            <w:r/>
            <w:r>
              <w:rPr>
                <w:rFonts w:ascii="Aptos" w:hAnsi="Aptos"/>
                <w:b w:val="0"/>
                <w:sz w:val="16"/>
              </w:rPr>
              <w:t>50</w:t>
            </w:r>
          </w:p>
        </w:tc>
      </w:tr>
      <w:tr>
        <w:trPr>
          <w:cantSplit/>
        </w:trPr>
        <w:tc>
          <w:tcPr>
            <w:tcW w:type="dxa" w:w="6803"/>
            <w:vAlign w:val="top"/>
            <w:tcMar>
              <w:top w:w="60" w:type="dxa"/>
              <w:start w:w="60" w:type="dxa"/>
              <w:bottom w:w="60" w:type="dxa"/>
              <w:end w:w="60" w:type="dxa"/>
            </w:tcMar>
          </w:tcPr>
          <w:p>
            <w:pPr>
              <w:spacing w:after="0" w:before="0"/>
            </w:pPr>
            <w:r/>
            <w:r>
              <w:rPr>
                <w:rFonts w:ascii="Aptos" w:hAnsi="Aptos"/>
                <w:b/>
                <w:sz w:val="16"/>
              </w:rPr>
              <w:t>WIZ — Assistants / Wizards</w:t>
            </w:r>
          </w:p>
        </w:tc>
        <w:tc>
          <w:tcPr>
            <w:tcW w:type="dxa" w:w="1701"/>
            <w:vAlign w:val="top"/>
            <w:tcMar>
              <w:top w:w="60" w:type="dxa"/>
              <w:start w:w="60" w:type="dxa"/>
              <w:bottom w:w="60" w:type="dxa"/>
              <w:end w:w="60" w:type="dxa"/>
            </w:tcMar>
          </w:tcPr>
          <w:p>
            <w:pPr>
              <w:spacing w:after="0" w:before="0"/>
            </w:pPr>
            <w:r/>
            <w:r>
              <w:rPr>
                <w:rFonts w:ascii="Aptos" w:hAnsi="Aptos"/>
                <w:b w:val="0"/>
                <w:sz w:val="16"/>
              </w:rPr>
              <w:t>14</w:t>
            </w:r>
          </w:p>
        </w:tc>
        <w:tc>
          <w:tcPr>
            <w:tcW w:type="dxa" w:w="1701"/>
            <w:vAlign w:val="top"/>
            <w:tcMar>
              <w:top w:w="60" w:type="dxa"/>
              <w:start w:w="60" w:type="dxa"/>
              <w:bottom w:w="60" w:type="dxa"/>
              <w:end w:w="60" w:type="dxa"/>
            </w:tcMar>
          </w:tcPr>
          <w:p>
            <w:pPr>
              <w:spacing w:after="0" w:before="0"/>
            </w:pPr>
            <w:r/>
            <w:r>
              <w:rPr>
                <w:rFonts w:ascii="Aptos" w:hAnsi="Aptos"/>
                <w:b w:val="0"/>
                <w:sz w:val="16"/>
              </w:rPr>
              <w:t>0</w:t>
            </w:r>
          </w:p>
        </w:tc>
        <w:tc>
          <w:tcPr>
            <w:tcW w:type="dxa" w:w="1701"/>
            <w:vAlign w:val="top"/>
            <w:tcMar>
              <w:top w:w="60" w:type="dxa"/>
              <w:start w:w="60" w:type="dxa"/>
              <w:bottom w:w="60" w:type="dxa"/>
              <w:end w:w="60" w:type="dxa"/>
            </w:tcMar>
          </w:tcPr>
          <w:p>
            <w:pPr>
              <w:spacing w:after="0" w:before="0"/>
            </w:pPr>
            <w:r/>
            <w:r>
              <w:rPr>
                <w:rFonts w:ascii="Aptos" w:hAnsi="Aptos"/>
                <w:b w:val="0"/>
                <w:sz w:val="16"/>
              </w:rPr>
              <w:t>1</w:t>
            </w:r>
          </w:p>
        </w:tc>
        <w:tc>
          <w:tcPr>
            <w:tcW w:type="dxa" w:w="2835"/>
            <w:vAlign w:val="top"/>
            <w:tcMar>
              <w:top w:w="60" w:type="dxa"/>
              <w:start w:w="60" w:type="dxa"/>
              <w:bottom w:w="60" w:type="dxa"/>
              <w:end w:w="60" w:type="dxa"/>
            </w:tcMar>
          </w:tcPr>
          <w:p>
            <w:pPr>
              <w:spacing w:after="0" w:before="0"/>
            </w:pPr>
            <w:r/>
            <w:r>
              <w:rPr>
                <w:rFonts w:ascii="Aptos" w:hAnsi="Aptos"/>
                <w:b w:val="0"/>
                <w:sz w:val="16"/>
              </w:rPr>
              <w:t>13</w:t>
            </w:r>
          </w:p>
        </w:tc>
      </w:tr>
      <w:tr>
        <w:trPr>
          <w:cantSplit/>
        </w:trPr>
        <w:tc>
          <w:tcPr>
            <w:tcW w:type="dxa" w:w="6803"/>
            <w:vAlign w:val="top"/>
            <w:tcMar>
              <w:top w:w="60" w:type="dxa"/>
              <w:start w:w="60" w:type="dxa"/>
              <w:bottom w:w="60" w:type="dxa"/>
              <w:end w:w="60" w:type="dxa"/>
            </w:tcMar>
          </w:tcPr>
          <w:p>
            <w:pPr>
              <w:spacing w:after="0" w:before="0"/>
            </w:pPr>
            <w:r/>
            <w:r>
              <w:rPr>
                <w:rFonts w:ascii="Aptos" w:hAnsi="Aptos"/>
                <w:b/>
                <w:sz w:val="16"/>
              </w:rPr>
              <w:t>UXN — UX, groupes, rôles, nommage</w:t>
            </w:r>
          </w:p>
        </w:tc>
        <w:tc>
          <w:tcPr>
            <w:tcW w:type="dxa" w:w="1701"/>
            <w:vAlign w:val="top"/>
            <w:tcMar>
              <w:top w:w="60" w:type="dxa"/>
              <w:start w:w="60" w:type="dxa"/>
              <w:bottom w:w="60" w:type="dxa"/>
              <w:end w:w="60" w:type="dxa"/>
            </w:tcMar>
          </w:tcPr>
          <w:p>
            <w:pPr>
              <w:spacing w:after="0" w:before="0"/>
            </w:pPr>
            <w:r/>
            <w:r>
              <w:rPr>
                <w:rFonts w:ascii="Aptos" w:hAnsi="Aptos"/>
                <w:b w:val="0"/>
                <w:sz w:val="16"/>
              </w:rPr>
              <w:t>18</w:t>
            </w:r>
          </w:p>
        </w:tc>
        <w:tc>
          <w:tcPr>
            <w:tcW w:type="dxa" w:w="1701"/>
            <w:vAlign w:val="top"/>
            <w:tcMar>
              <w:top w:w="60" w:type="dxa"/>
              <w:start w:w="60" w:type="dxa"/>
              <w:bottom w:w="60" w:type="dxa"/>
              <w:end w:w="60" w:type="dxa"/>
            </w:tcMar>
          </w:tcPr>
          <w:p>
            <w:pPr>
              <w:spacing w:after="0" w:before="0"/>
            </w:pPr>
            <w:r/>
            <w:r>
              <w:rPr>
                <w:rFonts w:ascii="Aptos" w:hAnsi="Aptos"/>
                <w:b w:val="0"/>
                <w:sz w:val="16"/>
              </w:rPr>
              <w:t>2</w:t>
            </w:r>
          </w:p>
        </w:tc>
        <w:tc>
          <w:tcPr>
            <w:tcW w:type="dxa" w:w="1701"/>
            <w:vAlign w:val="top"/>
            <w:tcMar>
              <w:top w:w="60" w:type="dxa"/>
              <w:start w:w="60" w:type="dxa"/>
              <w:bottom w:w="60" w:type="dxa"/>
              <w:end w:w="60" w:type="dxa"/>
            </w:tcMar>
          </w:tcPr>
          <w:p>
            <w:pPr>
              <w:spacing w:after="0" w:before="0"/>
            </w:pPr>
            <w:r/>
            <w:r>
              <w:rPr>
                <w:rFonts w:ascii="Aptos" w:hAnsi="Aptos"/>
                <w:b w:val="0"/>
                <w:sz w:val="16"/>
              </w:rPr>
              <w:t>6</w:t>
            </w:r>
          </w:p>
        </w:tc>
        <w:tc>
          <w:tcPr>
            <w:tcW w:type="dxa" w:w="2835"/>
            <w:vAlign w:val="top"/>
            <w:tcMar>
              <w:top w:w="60" w:type="dxa"/>
              <w:start w:w="60" w:type="dxa"/>
              <w:bottom w:w="60" w:type="dxa"/>
              <w:end w:w="60" w:type="dxa"/>
            </w:tcMar>
          </w:tcPr>
          <w:p>
            <w:pPr>
              <w:spacing w:after="0" w:before="0"/>
            </w:pPr>
            <w:r/>
            <w:r>
              <w:rPr>
                <w:rFonts w:ascii="Aptos" w:hAnsi="Aptos"/>
                <w:b w:val="0"/>
                <w:sz w:val="16"/>
              </w:rPr>
              <w:t>10</w:t>
            </w:r>
          </w:p>
        </w:tc>
      </w:tr>
      <w:tr>
        <w:trPr>
          <w:cantSplit/>
        </w:trPr>
        <w:tc>
          <w:tcPr>
            <w:tcW w:type="dxa" w:w="6803"/>
            <w:vAlign w:val="top"/>
            <w:tcMar>
              <w:top w:w="60" w:type="dxa"/>
              <w:start w:w="60" w:type="dxa"/>
              <w:bottom w:w="60" w:type="dxa"/>
              <w:end w:w="60" w:type="dxa"/>
            </w:tcMar>
          </w:tcPr>
          <w:p>
            <w:pPr>
              <w:spacing w:after="0" w:before="0"/>
            </w:pPr>
            <w:r/>
            <w:r>
              <w:rPr>
                <w:rFonts w:ascii="Aptos" w:hAnsi="Aptos"/>
                <w:b/>
                <w:sz w:val="16"/>
              </w:rPr>
              <w:t>OPS — Opérations persistantes et brouillons</w:t>
            </w:r>
          </w:p>
        </w:tc>
        <w:tc>
          <w:tcPr>
            <w:tcW w:type="dxa" w:w="1701"/>
            <w:vAlign w:val="top"/>
            <w:tcMar>
              <w:top w:w="60" w:type="dxa"/>
              <w:start w:w="60" w:type="dxa"/>
              <w:bottom w:w="60" w:type="dxa"/>
              <w:end w:w="60" w:type="dxa"/>
            </w:tcMar>
          </w:tcPr>
          <w:p>
            <w:pPr>
              <w:spacing w:after="0" w:before="0"/>
            </w:pPr>
            <w:r/>
            <w:r>
              <w:rPr>
                <w:rFonts w:ascii="Aptos" w:hAnsi="Aptos"/>
                <w:b w:val="0"/>
                <w:sz w:val="16"/>
              </w:rPr>
              <w:t>14</w:t>
            </w:r>
          </w:p>
        </w:tc>
        <w:tc>
          <w:tcPr>
            <w:tcW w:type="dxa" w:w="1701"/>
            <w:vAlign w:val="top"/>
            <w:tcMar>
              <w:top w:w="60" w:type="dxa"/>
              <w:start w:w="60" w:type="dxa"/>
              <w:bottom w:w="60" w:type="dxa"/>
              <w:end w:w="60" w:type="dxa"/>
            </w:tcMar>
          </w:tcPr>
          <w:p>
            <w:pPr>
              <w:spacing w:after="0" w:before="0"/>
            </w:pPr>
            <w:r/>
            <w:r>
              <w:rPr>
                <w:rFonts w:ascii="Aptos" w:hAnsi="Aptos"/>
                <w:b w:val="0"/>
                <w:sz w:val="16"/>
              </w:rPr>
              <w:t>3</w:t>
            </w:r>
          </w:p>
        </w:tc>
        <w:tc>
          <w:tcPr>
            <w:tcW w:type="dxa" w:w="1701"/>
            <w:vAlign w:val="top"/>
            <w:tcMar>
              <w:top w:w="60" w:type="dxa"/>
              <w:start w:w="60" w:type="dxa"/>
              <w:bottom w:w="60" w:type="dxa"/>
              <w:end w:w="60" w:type="dxa"/>
            </w:tcMar>
          </w:tcPr>
          <w:p>
            <w:pPr>
              <w:spacing w:after="0" w:before="0"/>
            </w:pPr>
            <w:r/>
            <w:r>
              <w:rPr>
                <w:rFonts w:ascii="Aptos" w:hAnsi="Aptos"/>
                <w:b w:val="0"/>
                <w:sz w:val="16"/>
              </w:rPr>
              <w:t>8</w:t>
            </w:r>
          </w:p>
        </w:tc>
        <w:tc>
          <w:tcPr>
            <w:tcW w:type="dxa" w:w="2835"/>
            <w:vAlign w:val="top"/>
            <w:tcMar>
              <w:top w:w="60" w:type="dxa"/>
              <w:start w:w="60" w:type="dxa"/>
              <w:bottom w:w="60" w:type="dxa"/>
              <w:end w:w="60" w:type="dxa"/>
            </w:tcMar>
          </w:tcPr>
          <w:p>
            <w:pPr>
              <w:spacing w:after="0" w:before="0"/>
            </w:pPr>
            <w:r/>
            <w:r>
              <w:rPr>
                <w:rFonts w:ascii="Aptos" w:hAnsi="Aptos"/>
                <w:b w:val="0"/>
                <w:sz w:val="16"/>
              </w:rPr>
              <w:t>3</w:t>
            </w:r>
          </w:p>
        </w:tc>
      </w:tr>
      <w:tr>
        <w:trPr>
          <w:cantSplit/>
        </w:trPr>
        <w:tc>
          <w:tcPr>
            <w:tcW w:type="dxa" w:w="6803"/>
            <w:vAlign w:val="top"/>
            <w:tcMar>
              <w:top w:w="60" w:type="dxa"/>
              <w:start w:w="60" w:type="dxa"/>
              <w:bottom w:w="60" w:type="dxa"/>
              <w:end w:w="60" w:type="dxa"/>
            </w:tcMar>
          </w:tcPr>
          <w:p>
            <w:pPr>
              <w:spacing w:after="0" w:before="0"/>
            </w:pPr>
            <w:r/>
            <w:r>
              <w:rPr>
                <w:rFonts w:ascii="Aptos" w:hAnsi="Aptos"/>
                <w:b/>
                <w:sz w:val="16"/>
              </w:rPr>
              <w:t>TPL — Templates d’infrastructure</w:t>
            </w:r>
          </w:p>
        </w:tc>
        <w:tc>
          <w:tcPr>
            <w:tcW w:type="dxa" w:w="1701"/>
            <w:vAlign w:val="top"/>
            <w:tcMar>
              <w:top w:w="60" w:type="dxa"/>
              <w:start w:w="60" w:type="dxa"/>
              <w:bottom w:w="60" w:type="dxa"/>
              <w:end w:w="60" w:type="dxa"/>
            </w:tcMar>
          </w:tcPr>
          <w:p>
            <w:pPr>
              <w:spacing w:after="0" w:before="0"/>
            </w:pPr>
            <w:r/>
            <w:r>
              <w:rPr>
                <w:rFonts w:ascii="Aptos" w:hAnsi="Aptos"/>
                <w:b w:val="0"/>
                <w:sz w:val="16"/>
              </w:rPr>
              <w:t>10</w:t>
            </w:r>
          </w:p>
        </w:tc>
        <w:tc>
          <w:tcPr>
            <w:tcW w:type="dxa" w:w="1701"/>
            <w:vAlign w:val="top"/>
            <w:tcMar>
              <w:top w:w="60" w:type="dxa"/>
              <w:start w:w="60" w:type="dxa"/>
              <w:bottom w:w="60" w:type="dxa"/>
              <w:end w:w="60" w:type="dxa"/>
            </w:tcMar>
          </w:tcPr>
          <w:p>
            <w:pPr>
              <w:spacing w:after="0" w:before="0"/>
            </w:pPr>
            <w:r/>
            <w:r>
              <w:rPr>
                <w:rFonts w:ascii="Aptos" w:hAnsi="Aptos"/>
                <w:b w:val="0"/>
                <w:sz w:val="16"/>
              </w:rPr>
              <w:t>2</w:t>
            </w:r>
          </w:p>
        </w:tc>
        <w:tc>
          <w:tcPr>
            <w:tcW w:type="dxa" w:w="1701"/>
            <w:vAlign w:val="top"/>
            <w:tcMar>
              <w:top w:w="60" w:type="dxa"/>
              <w:start w:w="60" w:type="dxa"/>
              <w:bottom w:w="60" w:type="dxa"/>
              <w:end w:w="60" w:type="dxa"/>
            </w:tcMar>
          </w:tcPr>
          <w:p>
            <w:pPr>
              <w:spacing w:after="0" w:before="0"/>
            </w:pPr>
            <w:r/>
            <w:r>
              <w:rPr>
                <w:rFonts w:ascii="Aptos" w:hAnsi="Aptos"/>
                <w:b w:val="0"/>
                <w:sz w:val="16"/>
              </w:rPr>
              <w:t>6</w:t>
            </w:r>
          </w:p>
        </w:tc>
        <w:tc>
          <w:tcPr>
            <w:tcW w:type="dxa" w:w="2835"/>
            <w:vAlign w:val="top"/>
            <w:tcMar>
              <w:top w:w="60" w:type="dxa"/>
              <w:start w:w="60" w:type="dxa"/>
              <w:bottom w:w="60" w:type="dxa"/>
              <w:end w:w="60" w:type="dxa"/>
            </w:tcMar>
          </w:tcPr>
          <w:p>
            <w:pPr>
              <w:spacing w:after="0" w:before="0"/>
            </w:pPr>
            <w:r/>
            <w:r>
              <w:rPr>
                <w:rFonts w:ascii="Aptos" w:hAnsi="Aptos"/>
                <w:b w:val="0"/>
                <w:sz w:val="16"/>
              </w:rPr>
              <w:t>2</w:t>
            </w:r>
          </w:p>
        </w:tc>
      </w:tr>
      <w:tr>
        <w:trPr>
          <w:cantSplit/>
        </w:trPr>
        <w:tc>
          <w:tcPr>
            <w:tcW w:type="dxa" w:w="6803"/>
            <w:vAlign w:val="top"/>
            <w:tcMar>
              <w:top w:w="60" w:type="dxa"/>
              <w:start w:w="60" w:type="dxa"/>
              <w:bottom w:w="60" w:type="dxa"/>
              <w:end w:w="60" w:type="dxa"/>
            </w:tcMar>
          </w:tcPr>
          <w:p>
            <w:pPr>
              <w:spacing w:after="0" w:before="0"/>
            </w:pPr>
            <w:r/>
            <w:r>
              <w:rPr>
                <w:rFonts w:ascii="Aptos" w:hAnsi="Aptos"/>
                <w:b/>
                <w:sz w:val="16"/>
              </w:rPr>
              <w:t>REUSE — Réutilisation packages/outils</w:t>
            </w:r>
          </w:p>
        </w:tc>
        <w:tc>
          <w:tcPr>
            <w:tcW w:type="dxa" w:w="1701"/>
            <w:vAlign w:val="top"/>
            <w:tcMar>
              <w:top w:w="60" w:type="dxa"/>
              <w:start w:w="60" w:type="dxa"/>
              <w:bottom w:w="60" w:type="dxa"/>
              <w:end w:w="60" w:type="dxa"/>
            </w:tcMar>
          </w:tcPr>
          <w:p>
            <w:pPr>
              <w:spacing w:after="0" w:before="0"/>
            </w:pPr>
            <w:r/>
            <w:r>
              <w:rPr>
                <w:rFonts w:ascii="Aptos" w:hAnsi="Aptos"/>
                <w:b w:val="0"/>
                <w:sz w:val="16"/>
              </w:rPr>
              <w:t>12</w:t>
            </w:r>
          </w:p>
        </w:tc>
        <w:tc>
          <w:tcPr>
            <w:tcW w:type="dxa" w:w="1701"/>
            <w:vAlign w:val="top"/>
            <w:tcMar>
              <w:top w:w="60" w:type="dxa"/>
              <w:start w:w="60" w:type="dxa"/>
              <w:bottom w:w="60" w:type="dxa"/>
              <w:end w:w="60" w:type="dxa"/>
            </w:tcMar>
          </w:tcPr>
          <w:p>
            <w:pPr>
              <w:spacing w:after="0" w:before="0"/>
            </w:pPr>
            <w:r/>
            <w:r>
              <w:rPr>
                <w:rFonts w:ascii="Aptos" w:hAnsi="Aptos"/>
                <w:b w:val="0"/>
                <w:sz w:val="16"/>
              </w:rPr>
              <w:t>1</w:t>
            </w:r>
          </w:p>
        </w:tc>
        <w:tc>
          <w:tcPr>
            <w:tcW w:type="dxa" w:w="1701"/>
            <w:vAlign w:val="top"/>
            <w:tcMar>
              <w:top w:w="60" w:type="dxa"/>
              <w:start w:w="60" w:type="dxa"/>
              <w:bottom w:w="60" w:type="dxa"/>
              <w:end w:w="60" w:type="dxa"/>
            </w:tcMar>
          </w:tcPr>
          <w:p>
            <w:pPr>
              <w:spacing w:after="0" w:before="0"/>
            </w:pPr>
            <w:r/>
            <w:r>
              <w:rPr>
                <w:rFonts w:ascii="Aptos" w:hAnsi="Aptos"/>
                <w:b w:val="0"/>
                <w:sz w:val="16"/>
              </w:rPr>
              <w:t>6</w:t>
            </w:r>
          </w:p>
        </w:tc>
        <w:tc>
          <w:tcPr>
            <w:tcW w:type="dxa" w:w="2835"/>
            <w:vAlign w:val="top"/>
            <w:tcMar>
              <w:top w:w="60" w:type="dxa"/>
              <w:start w:w="60" w:type="dxa"/>
              <w:bottom w:w="60" w:type="dxa"/>
              <w:end w:w="60" w:type="dxa"/>
            </w:tcMar>
          </w:tcPr>
          <w:p>
            <w:pPr>
              <w:spacing w:after="0" w:before="0"/>
            </w:pPr>
            <w:r/>
            <w:r>
              <w:rPr>
                <w:rFonts w:ascii="Aptos" w:hAnsi="Aptos"/>
                <w:b w:val="0"/>
                <w:sz w:val="16"/>
              </w:rPr>
              <w:t>5</w:t>
            </w:r>
          </w:p>
        </w:tc>
      </w:tr>
      <w:tr>
        <w:trPr>
          <w:cantSplit/>
        </w:trPr>
        <w:tc>
          <w:tcPr>
            <w:tcW w:type="dxa" w:w="6803"/>
            <w:vAlign w:val="top"/>
            <w:tcMar>
              <w:top w:w="60" w:type="dxa"/>
              <w:start w:w="60" w:type="dxa"/>
              <w:bottom w:w="60" w:type="dxa"/>
              <w:end w:w="60" w:type="dxa"/>
            </w:tcMar>
          </w:tcPr>
          <w:p>
            <w:pPr>
              <w:spacing w:after="0" w:before="0"/>
            </w:pPr>
            <w:r/>
            <w:r>
              <w:rPr>
                <w:rFonts w:ascii="Aptos" w:hAnsi="Aptos"/>
                <w:b/>
                <w:sz w:val="16"/>
              </w:rPr>
              <w:t>PERMX — Permission analysis — exigences renforcées</w:t>
            </w:r>
          </w:p>
        </w:tc>
        <w:tc>
          <w:tcPr>
            <w:tcW w:type="dxa" w:w="1701"/>
            <w:vAlign w:val="top"/>
            <w:tcMar>
              <w:top w:w="60" w:type="dxa"/>
              <w:start w:w="60" w:type="dxa"/>
              <w:bottom w:w="60" w:type="dxa"/>
              <w:end w:w="60" w:type="dxa"/>
            </w:tcMar>
          </w:tcPr>
          <w:p>
            <w:pPr>
              <w:spacing w:after="0" w:before="0"/>
            </w:pPr>
            <w:r/>
            <w:r>
              <w:rPr>
                <w:rFonts w:ascii="Aptos" w:hAnsi="Aptos"/>
                <w:b w:val="0"/>
                <w:sz w:val="16"/>
              </w:rPr>
              <w:t>10</w:t>
            </w:r>
          </w:p>
        </w:tc>
        <w:tc>
          <w:tcPr>
            <w:tcW w:type="dxa" w:w="1701"/>
            <w:vAlign w:val="top"/>
            <w:tcMar>
              <w:top w:w="60" w:type="dxa"/>
              <w:start w:w="60" w:type="dxa"/>
              <w:bottom w:w="60" w:type="dxa"/>
              <w:end w:w="60" w:type="dxa"/>
            </w:tcMar>
          </w:tcPr>
          <w:p>
            <w:pPr>
              <w:spacing w:after="0" w:before="0"/>
            </w:pPr>
            <w:r/>
            <w:r>
              <w:rPr>
                <w:rFonts w:ascii="Aptos" w:hAnsi="Aptos"/>
                <w:b w:val="0"/>
                <w:sz w:val="16"/>
              </w:rPr>
              <w:t>9</w:t>
            </w:r>
          </w:p>
        </w:tc>
        <w:tc>
          <w:tcPr>
            <w:tcW w:type="dxa" w:w="1701"/>
            <w:vAlign w:val="top"/>
            <w:tcMar>
              <w:top w:w="60" w:type="dxa"/>
              <w:start w:w="60" w:type="dxa"/>
              <w:bottom w:w="60" w:type="dxa"/>
              <w:end w:w="60" w:type="dxa"/>
            </w:tcMar>
          </w:tcPr>
          <w:p>
            <w:pPr>
              <w:spacing w:after="0" w:before="0"/>
            </w:pPr>
            <w:r/>
            <w:r>
              <w:rPr>
                <w:rFonts w:ascii="Aptos" w:hAnsi="Aptos"/>
                <w:b w:val="0"/>
                <w:sz w:val="16"/>
              </w:rPr>
              <w:t>1</w:t>
            </w:r>
          </w:p>
        </w:tc>
        <w:tc>
          <w:tcPr>
            <w:tcW w:type="dxa" w:w="2835"/>
            <w:vAlign w:val="top"/>
            <w:tcMar>
              <w:top w:w="60" w:type="dxa"/>
              <w:start w:w="60" w:type="dxa"/>
              <w:bottom w:w="60" w:type="dxa"/>
              <w:end w:w="60" w:type="dxa"/>
            </w:tcMar>
          </w:tcPr>
          <w:p>
            <w:pPr>
              <w:spacing w:after="0" w:before="0"/>
            </w:pPr>
            <w:r/>
            <w:r>
              <w:rPr>
                <w:rFonts w:ascii="Aptos" w:hAnsi="Aptos"/>
                <w:b w:val="0"/>
                <w:sz w:val="16"/>
              </w:rPr>
              <w:t>0</w:t>
            </w:r>
          </w:p>
        </w:tc>
      </w:tr>
      <w:tr>
        <w:trPr>
          <w:cantSplit/>
        </w:trPr>
        <w:tc>
          <w:tcPr>
            <w:tcW w:type="dxa" w:w="6803"/>
            <w:vAlign w:val="top"/>
            <w:tcMar>
              <w:top w:w="60" w:type="dxa"/>
              <w:start w:w="60" w:type="dxa"/>
              <w:bottom w:w="60" w:type="dxa"/>
              <w:end w:w="60" w:type="dxa"/>
            </w:tcMar>
          </w:tcPr>
          <w:p>
            <w:pPr>
              <w:spacing w:after="0" w:before="0"/>
            </w:pPr>
            <w:r/>
            <w:r>
              <w:rPr>
                <w:rFonts w:ascii="Aptos" w:hAnsi="Aptos"/>
                <w:b/>
                <w:sz w:val="16"/>
              </w:rPr>
              <w:t>QA — Qualité, tests et preuve de conformité</w:t>
            </w:r>
          </w:p>
        </w:tc>
        <w:tc>
          <w:tcPr>
            <w:tcW w:type="dxa" w:w="1701"/>
            <w:vAlign w:val="top"/>
            <w:tcMar>
              <w:top w:w="60" w:type="dxa"/>
              <w:start w:w="60" w:type="dxa"/>
              <w:bottom w:w="60" w:type="dxa"/>
              <w:end w:w="60" w:type="dxa"/>
            </w:tcMar>
          </w:tcPr>
          <w:p>
            <w:pPr>
              <w:spacing w:after="0" w:before="0"/>
            </w:pPr>
            <w:r/>
            <w:r>
              <w:rPr>
                <w:rFonts w:ascii="Aptos" w:hAnsi="Aptos"/>
                <w:b w:val="0"/>
                <w:sz w:val="16"/>
              </w:rPr>
              <w:t>12</w:t>
            </w:r>
          </w:p>
        </w:tc>
        <w:tc>
          <w:tcPr>
            <w:tcW w:type="dxa" w:w="1701"/>
            <w:vAlign w:val="top"/>
            <w:tcMar>
              <w:top w:w="60" w:type="dxa"/>
              <w:start w:w="60" w:type="dxa"/>
              <w:bottom w:w="60" w:type="dxa"/>
              <w:end w:w="60" w:type="dxa"/>
            </w:tcMar>
          </w:tcPr>
          <w:p>
            <w:pPr>
              <w:spacing w:after="0" w:before="0"/>
            </w:pPr>
            <w:r/>
            <w:r>
              <w:rPr>
                <w:rFonts w:ascii="Aptos" w:hAnsi="Aptos"/>
                <w:b w:val="0"/>
                <w:sz w:val="16"/>
              </w:rPr>
              <w:t>1</w:t>
            </w:r>
          </w:p>
        </w:tc>
        <w:tc>
          <w:tcPr>
            <w:tcW w:type="dxa" w:w="1701"/>
            <w:vAlign w:val="top"/>
            <w:tcMar>
              <w:top w:w="60" w:type="dxa"/>
              <w:start w:w="60" w:type="dxa"/>
              <w:bottom w:w="60" w:type="dxa"/>
              <w:end w:w="60" w:type="dxa"/>
            </w:tcMar>
          </w:tcPr>
          <w:p>
            <w:pPr>
              <w:spacing w:after="0" w:before="0"/>
            </w:pPr>
            <w:r/>
            <w:r>
              <w:rPr>
                <w:rFonts w:ascii="Aptos" w:hAnsi="Aptos"/>
                <w:b w:val="0"/>
                <w:sz w:val="16"/>
              </w:rPr>
              <w:t>8</w:t>
            </w:r>
          </w:p>
        </w:tc>
        <w:tc>
          <w:tcPr>
            <w:tcW w:type="dxa" w:w="2835"/>
            <w:vAlign w:val="top"/>
            <w:tcMar>
              <w:top w:w="60" w:type="dxa"/>
              <w:start w:w="60" w:type="dxa"/>
              <w:bottom w:w="60" w:type="dxa"/>
              <w:end w:w="60" w:type="dxa"/>
            </w:tcMar>
          </w:tcPr>
          <w:p>
            <w:pPr>
              <w:spacing w:after="0" w:before="0"/>
            </w:pPr>
            <w:r/>
            <w:r>
              <w:rPr>
                <w:rFonts w:ascii="Aptos" w:hAnsi="Aptos"/>
                <w:b w:val="0"/>
                <w:sz w:val="16"/>
              </w:rPr>
              <w:t>3</w:t>
            </w:r>
          </w:p>
        </w:tc>
      </w:tr>
    </w:tbl>
    <w:p>
      <w:pPr>
        <w:pStyle w:val="Heading1"/>
      </w:pPr>
      <w:r>
        <w:t>7. Backlog recommandé</w:t>
      </w:r>
    </w:p>
    <w:p>
      <w:pPr>
        <w:pStyle w:val="Heading2"/>
      </w:pPr>
      <w:r>
        <w:t>P0 — Fondations</w:t>
      </w:r>
    </w:p>
    <w:p>
      <w:pPr>
        <w:pStyle w:val="ListBullet"/>
      </w:pPr>
      <w:r>
        <w:t>Créer le Policy Engine générique : aggregate, stockage/RLS, resolver déterministe, héritage/priorité/conflits, explain, preflight, simulation, audit, RBAC et tests.</w:t>
      </w:r>
    </w:p>
    <w:p>
      <w:pPr>
        <w:pStyle w:val="ListBullet"/>
      </w:pPr>
      <w:r>
        <w:t>Brancher toute Policy à impact Discord sur le Plan canonique ; aucune voie de mutation parallèle.</w:t>
      </w:r>
    </w:p>
    <w:p>
      <w:pPr>
        <w:pStyle w:val="ListBullet"/>
      </w:pPr>
      <w:r>
        <w:t>Imposer fail-closed sur les évaluations security/policy incomplètes.</w:t>
      </w:r>
    </w:p>
    <w:p>
      <w:pPr>
        <w:pStyle w:val="ListBullet"/>
      </w:pPr>
      <w:r>
        <w:t>Évaluer une librairie/rules engine mature avant de développer un DSL maison, derrière une abstraction interne.</w:t>
      </w:r>
    </w:p>
    <w:p>
      <w:pPr>
        <w:pStyle w:val="Heading2"/>
      </w:pPr>
      <w:r>
        <w:t>P1 — Simplicité à forte valeur</w:t>
      </w:r>
    </w:p>
    <w:p>
      <w:pPr>
        <w:pStyle w:val="ListBullet"/>
      </w:pPr>
      <w:r>
        <w:t>Créer la navigation Assistants/Wizards et le Wizard de première configuration.</w:t>
      </w:r>
    </w:p>
    <w:p>
      <w:pPr>
        <w:pStyle w:val="ListBullet"/>
      </w:pPr>
      <w:r>
        <w:t>Rôles existants + suggestions de rôles manquants + “+ Créer un rôle” + édition avant plan.</w:t>
      </w:r>
    </w:p>
    <w:p>
      <w:pPr>
        <w:pStyle w:val="ListBullet"/>
      </w:pPr>
      <w:r>
        <w:t>Créer l’UI Policies simple/expert avec preview, impact et “Pourquoi ?”.</w:t>
      </w:r>
    </w:p>
    <w:p>
      <w:pPr>
        <w:pStyle w:val="ListBullet"/>
      </w:pPr>
      <w:r>
        <w:t>Créer/finir un Centre d’opérations persistant après reconnexion/login.</w:t>
      </w:r>
    </w:p>
    <w:p>
      <w:pPr>
        <w:pStyle w:val="ListBullet"/>
      </w:pPr>
      <w:r>
        <w:t>Compléter le catalogue de templates d’infrastructure préconstruits et adaptatifs.</w:t>
      </w:r>
    </w:p>
    <w:p>
      <w:pPr>
        <w:pStyle w:val="Heading2"/>
      </w:pPr>
      <w:r>
        <w:t>P2 — Finition UX</w:t>
      </w:r>
    </w:p>
    <w:p>
      <w:pPr>
        <w:pStyle w:val="ListBullet"/>
      </w:pPr>
      <w:r>
        <w:t>Renommage second clic lent + F2 + menu contextuel.</w:t>
      </w:r>
    </w:p>
    <w:p>
      <w:pPr>
        <w:pStyle w:val="ListBullet"/>
      </w:pPr>
      <w:r>
        <w:t>Libellé configurable des groupes logiques sans changer le concept technique.</w:t>
      </w:r>
    </w:p>
    <w:p>
      <w:pPr>
        <w:pStyle w:val="ListBullet"/>
      </w:pPr>
      <w:r>
        <w:t>Emoji picker et presets de noms stylés validés selon Discord.</w:t>
      </w:r>
    </w:p>
    <w:p>
      <w:pPr>
        <w:pStyle w:val="ListBullet"/>
      </w:pPr>
      <w:r>
        <w:t>Aide contextuelle et élimination du jargon/acronymes internes inexpliqués.</w:t>
      </w:r>
    </w:p>
    <w:p>
      <w:pPr>
        <w:pStyle w:val="Heading1"/>
      </w:pPr>
      <w:r>
        <w:t>8. Preuves inspectées directement</w:t>
      </w:r>
    </w:p>
    <w:p>
      <w:pPr>
        <w:pStyle w:val="ListBullet"/>
      </w:pPr>
      <w:r>
        <w:t>backend/src/did/permissions/calculator.py — PermissionEvaluator, cumul de rôles, overwrite order, owner/ADMINISTRATOR, coverage/freshness/unknown.</w:t>
      </w:r>
    </w:p>
    <w:p>
      <w:pPr>
        <w:pStyle w:val="ListBullet"/>
      </w:pPr>
      <w:r>
        <w:t>backend/src/did/permissions/views.py — View As membre/rôle/newcomer, simple/expert, simulation avant/après.</w:t>
      </w:r>
    </w:p>
    <w:p>
      <w:pPr>
        <w:pStyle w:val="ListBullet"/>
      </w:pPr>
      <w:r>
        <w:t>backend/src/did/application/planning/service.py — create/compile/preview/preflight/impact/authorize, tenant scope, locks/rate budget.</w:t>
      </w:r>
    </w:p>
    <w:p>
      <w:pPr>
        <w:pStyle w:val="ListBullet"/>
      </w:pPr>
      <w:r>
        <w:t>backend/src/did/planning/models.py — PlanState/OperationState, risques, opérations, impact/checklist.</w:t>
      </w:r>
    </w:p>
    <w:p>
      <w:pPr>
        <w:pStyle w:val="ListBullet"/>
      </w:pPr>
      <w:r>
        <w:t>frontend/src/features/roles/RolesScreen.tsx — liste/recherche, create/edit/duplicate, reorder/drag-drop, permission editor.</w:t>
      </w:r>
    </w:p>
    <w:p>
      <w:pPr>
        <w:pStyle w:val="ListBullet"/>
      </w:pPr>
      <w:r>
        <w:t>backend/src/did/campaigns/message_content_policy.py — policy spécialisée de capture message-content.</w:t>
      </w:r>
    </w:p>
    <w:p>
      <w:pPr>
        <w:pStyle w:val="ListBullet"/>
      </w:pPr>
      <w:r>
        <w:t>backend/src/did/messaging/translation_policy.py — policy spécialisée de forwarding/traduction.</w:t>
      </w:r>
    </w:p>
    <w:p>
      <w:pPr>
        <w:pStyle w:val="ListBullet"/>
      </w:pPr>
      <w:r>
        <w:t>Inventaire frontend — roles, members, permissions, plans, audit, outbox, structure, portability, campaigns, etc.; aucun module Policies générique ou Wizard dédié identifié.</w:t>
      </w:r>
    </w:p>
    <w:p>
      <w:pPr>
        <w:pStyle w:val="ListBullet"/>
      </w:pPr>
      <w:r>
        <w:t>artifacts/stage10-audit/skipped-tests.txt — scans E2E/a11y conditionnels.</w:t>
      </w:r>
    </w:p>
    <w:p>
      <w:pPr>
        <w:pStyle w:val="ListBullet"/>
      </w:pPr>
      <w:r>
        <w:t>docs/10_implementation/00_REQUIREMENTS_TRACEABILITY.md — registre historique de 246 exigences, source de couverture mais non validation automatique.</w:t>
      </w:r>
    </w:p>
    <w:p>
      <w:pPr>
        <w:pStyle w:val="Heading1"/>
      </w:pPr>
      <w:r>
        <w:t>9. Limites de l’audit</w:t>
      </w:r>
    </w:p>
    <w:p>
      <w:r>
        <w:t>L’inventaire des sources backend/frontend/tests a été parcouru et plusieurs modules critiques ont été inspectés directement, mais tous les fichiers n’ont pas été relus ligne par ligne et tous les tests/Discord sandboxes n’ont pas été réexécutés dans cet environnement. Le connecteur GitHub fournit le code et les artefacts, pas l’exécution complète de la CI. Par conséquent, tout point dont la preuve reste insuffisante est classé PARTIEL ou NON DÉMONTRÉ plutôt que crédité par hypothèse.</w:t>
      </w:r>
    </w:p>
    <w:p>
      <w:pPr>
        <w:pStyle w:val="Heading1"/>
      </w:pPr>
      <w:r>
        <w:t>10. Gouvernance documentaire</w:t>
      </w:r>
    </w:p>
    <w:p>
      <w:r>
        <w:t>Ce document doit être ajouté sous docs/10_implementation/. Après validation produit, les nouvelles familles doivent être intégrées au registre canonique/générateur de traçabilité afin qu’elles deviennent des gates de release au même niveau que les 246 exigences historiques. Les références gelées de docs/00_reference ne doivent être modifiées que par une décision explicite de bascule de référentiel.</w:t>
      </w:r>
    </w:p>
    <w:sectPr w:rsidR="00FC693F" w:rsidRPr="0006063C" w:rsidSect="00034616">
      <w:headerReference w:type="default" r:id="rId9"/>
      <w:footerReference w:type="default" r:id="rId10"/>
      <w:pgSz w:w="16838" w:h="11906" w:orient="landscape"/>
      <w:pgMar w:top="680" w:right="680" w:bottom="624"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Branche stage/10-acceptance • 13/09/2026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46464"/>
        <w:sz w:val="16"/>
      </w:rPr>
      <w:t>Discord Infrastructure Designer — Exigences &amp; audit de conformité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Discord Infrastructure Designer — Exigences détaillées consolidées et audit de conformité</dc:title>
  <dc:subject>Exigences atomiques, Policies, Wizards, audit conservateur du code stage/10-acceptance</dc:subject>
  <dc:creator>OpenAI /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