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170A8" w14:textId="77777777" w:rsidR="00A70719" w:rsidRPr="004E12F5" w:rsidRDefault="004E12F5" w:rsidP="004E12F5">
      <w:pPr>
        <w:pStyle w:val="Heading1"/>
        <w:jc w:val="center"/>
        <w:rPr>
          <w:rFonts w:ascii="Times New Roman" w:eastAsia="Times New Roman" w:hAnsi="Times New Roman" w:cs="Times New Roman"/>
          <w:i/>
          <w:iCs/>
          <w:sz w:val="44"/>
          <w:szCs w:val="44"/>
        </w:rPr>
      </w:pPr>
      <w:r w:rsidRPr="004E12F5">
        <w:rPr>
          <w:i/>
          <w:iCs/>
          <w:sz w:val="44"/>
          <w:szCs w:val="44"/>
        </w:rPr>
        <w:t>Comprehensive Analysis of Risk Disclosure Strategies in 10-K Annual Reports</w:t>
      </w:r>
    </w:p>
    <w:p w14:paraId="6B1BC7CD" w14:textId="77777777" w:rsidR="00A70719" w:rsidRDefault="004E12F5" w:rsidP="002C4EAE">
      <w:pPr>
        <w:pStyle w:val="Heading1"/>
      </w:pPr>
      <w:r>
        <w:t xml:space="preserve">Introduction </w:t>
      </w:r>
    </w:p>
    <w:p w14:paraId="23CCFD75" w14:textId="77777777" w:rsidR="00A70719" w:rsidRPr="002C4EAE" w:rsidRDefault="004E12F5">
      <w:pPr>
        <w:spacing w:before="240" w:after="240" w:line="240" w:lineRule="auto"/>
        <w:rPr>
          <w:rFonts w:ascii="Times New Roman" w:eastAsia="Times New Roman" w:hAnsi="Times New Roman" w:cs="Times New Roman"/>
          <w:sz w:val="24"/>
          <w:szCs w:val="24"/>
        </w:rPr>
      </w:pPr>
      <w:r w:rsidRPr="002C4EAE">
        <w:rPr>
          <w:sz w:val="24"/>
          <w:szCs w:val="24"/>
        </w:rPr>
        <w:t xml:space="preserve">In the rapidly evolving fintech landscape, understanding how </w:t>
      </w:r>
      <w:r w:rsidRPr="002C4EAE">
        <w:rPr>
          <w:sz w:val="24"/>
          <w:szCs w:val="24"/>
        </w:rPr>
        <w:t>leading companies approach risk disclosure is crucial for stakeholders to gauge these organizations' resilience and forward-thinking strategies. This report delves into the risk disclosure practices of two pivotal players in the financial technology sector: PayPal Holdings, Inc. and ACI Worldwide, Inc. Both companies play instrumental roles in shaping the future of electronic banking and payment systems, and their annual reports offer valuable insights into the risks they face and how they manage them.</w:t>
      </w:r>
    </w:p>
    <w:p w14:paraId="0A244042" w14:textId="77777777" w:rsidR="00A70719" w:rsidRDefault="00A70719">
      <w:pPr>
        <w:spacing w:before="240" w:after="240" w:line="240" w:lineRule="auto"/>
        <w:rPr>
          <w:rFonts w:ascii="Times New Roman" w:eastAsia="Times New Roman" w:hAnsi="Times New Roman" w:cs="Times New Roman"/>
          <w:sz w:val="24"/>
          <w:szCs w:val="24"/>
        </w:rPr>
      </w:pPr>
    </w:p>
    <w:p w14:paraId="2BC1D3C8" w14:textId="77777777" w:rsidR="00A70719" w:rsidRDefault="004E12F5" w:rsidP="002C4EAE">
      <w:pPr>
        <w:pStyle w:val="Heading1"/>
      </w:pPr>
      <w:r>
        <w:t>Significance of Risk Disclosure</w:t>
      </w:r>
    </w:p>
    <w:p w14:paraId="45E67526" w14:textId="77777777" w:rsidR="00A70719" w:rsidRPr="002C4EAE" w:rsidRDefault="004E12F5">
      <w:pPr>
        <w:spacing w:before="240" w:after="240" w:line="240" w:lineRule="auto"/>
        <w:rPr>
          <w:rFonts w:ascii="Times New Roman" w:eastAsia="Times New Roman" w:hAnsi="Times New Roman" w:cs="Times New Roman"/>
          <w:sz w:val="24"/>
          <w:szCs w:val="24"/>
        </w:rPr>
      </w:pPr>
      <w:r w:rsidRPr="002C4EAE">
        <w:rPr>
          <w:sz w:val="24"/>
          <w:szCs w:val="24"/>
        </w:rPr>
        <w:t>Risk disclosure in corporate annual reports is a vital aspect of corporate transparency. These disclosures serve as a primary channel for companies to communicate potential risks that could impact their operations, financial performance, and strategic objectives. For investors, regulators, and the public, understanding these risks is fundamental to assessing the company's future viability and decision-making process.</w:t>
      </w:r>
    </w:p>
    <w:p w14:paraId="3529164F" w14:textId="77777777" w:rsidR="00A70719" w:rsidRPr="002C4EAE" w:rsidRDefault="004E12F5">
      <w:pPr>
        <w:spacing w:before="240" w:after="240" w:line="240" w:lineRule="auto"/>
        <w:rPr>
          <w:rFonts w:ascii="Times New Roman" w:eastAsia="Times New Roman" w:hAnsi="Times New Roman" w:cs="Times New Roman"/>
          <w:sz w:val="24"/>
          <w:szCs w:val="24"/>
        </w:rPr>
      </w:pPr>
      <w:r w:rsidRPr="002C4EAE">
        <w:rPr>
          <w:sz w:val="24"/>
          <w:szCs w:val="24"/>
        </w:rPr>
        <w:t>Adequate risk disclosure demonstrates a company's commitment to transparency and highlights its proactive approach to identifying, managing, and mitigating risks. This openness helps build trust with stakeholders and provides a clearer picture of the challenges and uncertainties the company may face. Moreover, companies can underscore their resilience and adaptability in a constantly changing business environment by detailing the strategies for addressing these risks.</w:t>
      </w:r>
    </w:p>
    <w:p w14:paraId="411A8B01" w14:textId="00F360BD" w:rsidR="00A70719" w:rsidRPr="002C4EAE" w:rsidRDefault="004E12F5" w:rsidP="002C4EAE">
      <w:pPr>
        <w:spacing w:before="240" w:after="240" w:line="240" w:lineRule="auto"/>
        <w:rPr>
          <w:rFonts w:ascii="Times New Roman" w:eastAsia="Times New Roman" w:hAnsi="Times New Roman" w:cs="Times New Roman"/>
          <w:sz w:val="24"/>
          <w:szCs w:val="24"/>
        </w:rPr>
      </w:pPr>
      <w:r w:rsidRPr="002C4EAE">
        <w:rPr>
          <w:sz w:val="24"/>
          <w:szCs w:val="24"/>
        </w:rPr>
        <w:t>In this report, we explore how PayPal and ACI Worldwide articulate risks arising from internal operations and external market factors, examining the comprehensiveness of their disclosures. We assess the significance of these risks from the perspective of investors and corporations, analyzing whether the companies have effectively prioritized and communicated their most critical risks to stakeholders. Through this investigation, we aim to provide a detailed overview of their risk disclosure strategies, contr</w:t>
      </w:r>
      <w:r w:rsidRPr="002C4EAE">
        <w:rPr>
          <w:sz w:val="24"/>
          <w:szCs w:val="24"/>
        </w:rPr>
        <w:t>ibuting to a broader understanding of risk management practices in the fintech industr</w:t>
      </w:r>
      <w:r w:rsidR="002C4EAE">
        <w:rPr>
          <w:sz w:val="24"/>
          <w:szCs w:val="24"/>
        </w:rPr>
        <w:t>y.</w:t>
      </w:r>
    </w:p>
    <w:p w14:paraId="32538CB1" w14:textId="77777777" w:rsidR="00A70719" w:rsidRPr="002C4EAE" w:rsidRDefault="004E12F5" w:rsidP="002C4EAE">
      <w:pPr>
        <w:pStyle w:val="Heading1"/>
      </w:pPr>
      <w:r w:rsidRPr="002C4EAE">
        <w:lastRenderedPageBreak/>
        <w:t>Company Profiles</w:t>
      </w:r>
    </w:p>
    <w:p w14:paraId="4A492849" w14:textId="77777777" w:rsidR="00A70719" w:rsidRDefault="004E12F5">
      <w:pPr>
        <w:pStyle w:val="Heading2"/>
        <w:rPr>
          <w:rFonts w:ascii="Times New Roman" w:eastAsia="Times New Roman" w:hAnsi="Times New Roman" w:cs="Times New Roman"/>
        </w:rPr>
      </w:pPr>
      <w:r>
        <w:t>PayPal Holdings, Inc. Overview</w:t>
      </w:r>
    </w:p>
    <w:p w14:paraId="739B4505" w14:textId="5F5C62CA" w:rsidR="00A70719" w:rsidRPr="002C4EAE" w:rsidRDefault="00A70719">
      <w:pPr>
        <w:shd w:val="clear" w:color="auto" w:fill="FFFFFF"/>
        <w:spacing w:after="0" w:line="240" w:lineRule="auto"/>
        <w:rPr>
          <w:rFonts w:ascii="Times New Roman" w:eastAsia="Times New Roman" w:hAnsi="Times New Roman" w:cs="Times New Roman"/>
          <w:color w:val="0D0D0D"/>
          <w:sz w:val="24"/>
          <w:szCs w:val="24"/>
        </w:rPr>
      </w:pPr>
    </w:p>
    <w:p w14:paraId="26B3BC1E" w14:textId="77777777" w:rsidR="00A70719" w:rsidRPr="002C4EAE" w:rsidRDefault="00A70719">
      <w:pPr>
        <w:shd w:val="clear" w:color="auto" w:fill="FFFFFF"/>
        <w:spacing w:after="0" w:line="240" w:lineRule="auto"/>
        <w:rPr>
          <w:rFonts w:ascii="Times New Roman" w:eastAsia="Times New Roman" w:hAnsi="Times New Roman" w:cs="Times New Roman"/>
          <w:color w:val="0D0D0D"/>
          <w:sz w:val="24"/>
          <w:szCs w:val="24"/>
        </w:rPr>
      </w:pPr>
    </w:p>
    <w:p w14:paraId="58448292" w14:textId="77777777" w:rsidR="00A70719" w:rsidRPr="002C4EAE" w:rsidRDefault="004E12F5">
      <w:pPr>
        <w:rPr>
          <w:rFonts w:ascii="Times New Roman" w:eastAsia="Times New Roman" w:hAnsi="Times New Roman" w:cs="Times New Roman"/>
          <w:b/>
          <w:bCs/>
          <w:color w:val="0D0D0D"/>
          <w:sz w:val="32"/>
          <w:szCs w:val="32"/>
        </w:rPr>
      </w:pPr>
      <w:r w:rsidRPr="002C4EAE">
        <w:rPr>
          <w:b/>
          <w:bCs/>
          <w:sz w:val="32"/>
          <w:szCs w:val="32"/>
        </w:rPr>
        <w:t>Core Business:</w:t>
      </w:r>
    </w:p>
    <w:p w14:paraId="5751F34E" w14:textId="77777777" w:rsidR="00A70719" w:rsidRPr="002C4EAE" w:rsidRDefault="004E12F5">
      <w:pPr>
        <w:numPr>
          <w:ilvl w:val="0"/>
          <w:numId w:val="3"/>
        </w:numPr>
        <w:shd w:val="clear" w:color="auto" w:fill="FFFFFF"/>
        <w:spacing w:after="0" w:line="240" w:lineRule="auto"/>
        <w:rPr>
          <w:rFonts w:ascii="Times New Roman" w:eastAsia="Times New Roman" w:hAnsi="Times New Roman" w:cs="Times New Roman"/>
          <w:color w:val="0D0D0D"/>
          <w:sz w:val="24"/>
          <w:szCs w:val="24"/>
        </w:rPr>
      </w:pPr>
      <w:r w:rsidRPr="002C4EAE">
        <w:rPr>
          <w:sz w:val="24"/>
          <w:szCs w:val="24"/>
        </w:rPr>
        <w:t xml:space="preserve">PayPal is a global leader in digital payment solutions, offering a platform for digital money transfer. It is an electronic alternative to traditional payment methods such as checks and money orders. PayPal facilitates online fund transfers between parties and charges fees for services, particularly for online commerce entities like eBay. Through acquisitions like Braintree, Venmo, and </w:t>
      </w:r>
      <w:proofErr w:type="spellStart"/>
      <w:r w:rsidRPr="002C4EAE">
        <w:rPr>
          <w:sz w:val="24"/>
          <w:szCs w:val="24"/>
        </w:rPr>
        <w:t>iZettle</w:t>
      </w:r>
      <w:proofErr w:type="spellEnd"/>
      <w:r w:rsidRPr="002C4EAE">
        <w:rPr>
          <w:sz w:val="24"/>
          <w:szCs w:val="24"/>
        </w:rPr>
        <w:t>, PayPal has expanded its suite of services, integrating various technologies and platforms into its operations.</w:t>
      </w:r>
    </w:p>
    <w:p w14:paraId="7DEFD01F" w14:textId="77777777" w:rsidR="00A70719" w:rsidRPr="002C4EAE" w:rsidRDefault="00A70719">
      <w:pPr>
        <w:shd w:val="clear" w:color="auto" w:fill="FFFFFF"/>
        <w:spacing w:after="0" w:line="240" w:lineRule="auto"/>
        <w:rPr>
          <w:rFonts w:ascii="Times New Roman" w:eastAsia="Times New Roman" w:hAnsi="Times New Roman" w:cs="Times New Roman"/>
          <w:color w:val="0D0D0D"/>
          <w:sz w:val="24"/>
          <w:szCs w:val="24"/>
        </w:rPr>
      </w:pPr>
    </w:p>
    <w:p w14:paraId="74103ED4" w14:textId="77777777" w:rsidR="00A70719" w:rsidRPr="002C4EAE" w:rsidRDefault="004E12F5">
      <w:pPr>
        <w:numPr>
          <w:ilvl w:val="0"/>
          <w:numId w:val="4"/>
        </w:numPr>
        <w:shd w:val="clear" w:color="auto" w:fill="FFFFFF"/>
        <w:spacing w:after="0" w:line="240" w:lineRule="auto"/>
        <w:rPr>
          <w:rFonts w:ascii="Times New Roman" w:eastAsia="Times New Roman" w:hAnsi="Times New Roman" w:cs="Times New Roman"/>
          <w:color w:val="0D0D0D"/>
          <w:sz w:val="24"/>
          <w:szCs w:val="24"/>
        </w:rPr>
      </w:pPr>
      <w:r w:rsidRPr="002C4EAE">
        <w:rPr>
          <w:sz w:val="24"/>
          <w:szCs w:val="24"/>
        </w:rPr>
        <w:t xml:space="preserve">The company's proprietary payment solutions support seamless online and offline transactions and money movement, connecting consumers and merchants across roughly 200 </w:t>
      </w:r>
      <w:r w:rsidRPr="002C4EAE">
        <w:rPr>
          <w:sz w:val="24"/>
          <w:szCs w:val="24"/>
        </w:rPr>
        <w:t xml:space="preserve">markets. As of December 31, PayPal reported 426 million active accounts, including 391 million </w:t>
      </w:r>
      <w:proofErr w:type="gramStart"/>
      <w:r w:rsidRPr="002C4EAE">
        <w:rPr>
          <w:sz w:val="24"/>
          <w:szCs w:val="24"/>
        </w:rPr>
        <w:t>consumer</w:t>
      </w:r>
      <w:proofErr w:type="gramEnd"/>
      <w:r w:rsidRPr="002C4EAE">
        <w:rPr>
          <w:sz w:val="24"/>
          <w:szCs w:val="24"/>
        </w:rPr>
        <w:t xml:space="preserve"> and 35 million merchant active accounts. It supports diverse funding sources and offers merchant financing solutions, contributing to a transaction revenue increase of $1.7 billion for the year ending December 31, 2023, a 7% rise from 2022.</w:t>
      </w:r>
    </w:p>
    <w:p w14:paraId="2E4737BD" w14:textId="77777777" w:rsidR="00A70719" w:rsidRPr="002C4EAE" w:rsidRDefault="00A70719">
      <w:pPr>
        <w:shd w:val="clear" w:color="auto" w:fill="FFFFFF"/>
        <w:spacing w:after="0" w:line="240" w:lineRule="auto"/>
        <w:rPr>
          <w:rFonts w:ascii="Times New Roman" w:eastAsia="Times New Roman" w:hAnsi="Times New Roman" w:cs="Times New Roman"/>
          <w:color w:val="0D0D0D"/>
          <w:sz w:val="24"/>
          <w:szCs w:val="24"/>
        </w:rPr>
      </w:pPr>
    </w:p>
    <w:p w14:paraId="7D3216B6" w14:textId="77777777" w:rsidR="00A70719" w:rsidRPr="002C4EAE" w:rsidRDefault="004E12F5">
      <w:pPr>
        <w:shd w:val="clear" w:color="auto" w:fill="FFFFFF"/>
        <w:spacing w:after="0" w:line="240" w:lineRule="auto"/>
        <w:rPr>
          <w:rFonts w:ascii="Times New Roman" w:eastAsia="Times New Roman" w:hAnsi="Times New Roman" w:cs="Times New Roman"/>
          <w:b/>
          <w:bCs/>
          <w:color w:val="0D0D0D"/>
          <w:sz w:val="32"/>
          <w:szCs w:val="32"/>
        </w:rPr>
      </w:pPr>
      <w:r w:rsidRPr="002C4EAE">
        <w:rPr>
          <w:b/>
          <w:bCs/>
          <w:sz w:val="32"/>
          <w:szCs w:val="32"/>
        </w:rPr>
        <w:t>Market Cap:</w:t>
      </w:r>
    </w:p>
    <w:p w14:paraId="059E4825" w14:textId="77777777" w:rsidR="00A70719" w:rsidRPr="002C4EAE" w:rsidRDefault="00A70719">
      <w:pPr>
        <w:shd w:val="clear" w:color="auto" w:fill="FFFFFF"/>
        <w:spacing w:after="0" w:line="240" w:lineRule="auto"/>
        <w:rPr>
          <w:rFonts w:ascii="Times New Roman" w:eastAsia="Times New Roman" w:hAnsi="Times New Roman" w:cs="Times New Roman"/>
          <w:color w:val="0D0D0D"/>
          <w:sz w:val="24"/>
          <w:szCs w:val="24"/>
        </w:rPr>
      </w:pPr>
    </w:p>
    <w:p w14:paraId="24426904" w14:textId="77777777" w:rsidR="00A70719" w:rsidRPr="002C4EAE" w:rsidRDefault="004E12F5">
      <w:pPr>
        <w:shd w:val="clear" w:color="auto" w:fill="FFFFFF"/>
        <w:spacing w:after="0" w:line="240" w:lineRule="auto"/>
        <w:rPr>
          <w:rFonts w:ascii="Times New Roman" w:eastAsia="Times New Roman" w:hAnsi="Times New Roman" w:cs="Times New Roman"/>
          <w:color w:val="0D0D0D"/>
          <w:sz w:val="24"/>
          <w:szCs w:val="24"/>
        </w:rPr>
      </w:pPr>
      <w:r w:rsidRPr="002C4EAE">
        <w:rPr>
          <w:sz w:val="24"/>
          <w:szCs w:val="24"/>
        </w:rPr>
        <w:t>In early 2024, PayPal's market capitalization reached around $67.35 billion. For the fourth quarter of 2023, the company reported net revenues of $8.0 billion, marking a 9% increase and a GAAP EPS of $1.29. The total payment volume for the quarter was $409.8 billion, showing a 15% growth from the previous year. (Q4 23 PayPal Earnings Release, 2024)</w:t>
      </w:r>
    </w:p>
    <w:p w14:paraId="22C3936D" w14:textId="77777777" w:rsidR="00A70719" w:rsidRPr="002C4EAE" w:rsidRDefault="00A70719">
      <w:pPr>
        <w:shd w:val="clear" w:color="auto" w:fill="FFFFFF"/>
        <w:spacing w:after="0" w:line="240" w:lineRule="auto"/>
        <w:rPr>
          <w:rFonts w:ascii="Times New Roman" w:eastAsia="Times New Roman" w:hAnsi="Times New Roman" w:cs="Times New Roman"/>
          <w:color w:val="0D0D0D"/>
          <w:sz w:val="24"/>
          <w:szCs w:val="24"/>
        </w:rPr>
      </w:pPr>
    </w:p>
    <w:p w14:paraId="43FB6F53" w14:textId="77777777" w:rsidR="00A70719" w:rsidRPr="002C4EAE" w:rsidRDefault="00A70719">
      <w:pPr>
        <w:shd w:val="clear" w:color="auto" w:fill="FFFFFF"/>
        <w:spacing w:after="0" w:line="240" w:lineRule="auto"/>
        <w:rPr>
          <w:rFonts w:ascii="Times New Roman" w:eastAsia="Times New Roman" w:hAnsi="Times New Roman" w:cs="Times New Roman"/>
          <w:color w:val="0D0D0D"/>
          <w:sz w:val="24"/>
          <w:szCs w:val="24"/>
        </w:rPr>
      </w:pPr>
    </w:p>
    <w:p w14:paraId="1FEA9BDF" w14:textId="77777777" w:rsidR="00A70719" w:rsidRPr="002C4EAE" w:rsidRDefault="004E12F5">
      <w:pPr>
        <w:shd w:val="clear" w:color="auto" w:fill="FFFFFF"/>
        <w:spacing w:after="0" w:line="240" w:lineRule="auto"/>
        <w:rPr>
          <w:rFonts w:ascii="Times New Roman" w:eastAsia="Times New Roman" w:hAnsi="Times New Roman" w:cs="Times New Roman"/>
          <w:b/>
          <w:bCs/>
          <w:color w:val="0D0D0D"/>
          <w:sz w:val="32"/>
          <w:szCs w:val="32"/>
        </w:rPr>
      </w:pPr>
      <w:r w:rsidRPr="002C4EAE">
        <w:rPr>
          <w:b/>
          <w:bCs/>
          <w:sz w:val="32"/>
          <w:szCs w:val="32"/>
        </w:rPr>
        <w:t>Financial Performance:</w:t>
      </w:r>
    </w:p>
    <w:p w14:paraId="066A6FE4" w14:textId="77777777" w:rsidR="00A70719" w:rsidRPr="002C4EAE" w:rsidRDefault="00A70719">
      <w:pPr>
        <w:shd w:val="clear" w:color="auto" w:fill="FFFFFF"/>
        <w:spacing w:after="0" w:line="240" w:lineRule="auto"/>
        <w:rPr>
          <w:rFonts w:ascii="Times New Roman" w:eastAsia="Times New Roman" w:hAnsi="Times New Roman" w:cs="Times New Roman"/>
          <w:color w:val="0D0D0D"/>
          <w:sz w:val="24"/>
          <w:szCs w:val="24"/>
        </w:rPr>
      </w:pPr>
    </w:p>
    <w:p w14:paraId="297FE88F" w14:textId="02044CD3" w:rsidR="00A70719" w:rsidRDefault="004E12F5" w:rsidP="002C4EAE">
      <w:pPr>
        <w:shd w:val="clear" w:color="auto" w:fill="FFFFFF"/>
        <w:spacing w:after="0" w:line="240" w:lineRule="auto"/>
        <w:rPr>
          <w:sz w:val="24"/>
          <w:szCs w:val="24"/>
        </w:rPr>
      </w:pPr>
      <w:r w:rsidRPr="002C4EAE">
        <w:rPr>
          <w:sz w:val="24"/>
          <w:szCs w:val="24"/>
        </w:rPr>
        <w:t>The active accounts decreased from 435 million in 2022 to 426 million in 2023, yet payment transactions per active account grew to 58.7, a 14% increase. PayPal's operations and financial health are significantly influenced by regulatory compliance in areas like anti-money laundering, counter-terrorist financing, privacy, cybersecurity, and consumer protection. (Q4 23 PayPal Earnings Release, 2024)</w:t>
      </w:r>
    </w:p>
    <w:p w14:paraId="05C4834B" w14:textId="77777777" w:rsidR="002C4EAE" w:rsidRDefault="002C4EAE" w:rsidP="002C4EAE">
      <w:pPr>
        <w:shd w:val="clear" w:color="auto" w:fill="FFFFFF"/>
        <w:spacing w:after="0" w:line="240" w:lineRule="auto"/>
        <w:rPr>
          <w:sz w:val="24"/>
          <w:szCs w:val="24"/>
        </w:rPr>
      </w:pPr>
    </w:p>
    <w:p w14:paraId="5982559E" w14:textId="77777777" w:rsidR="002C4EAE" w:rsidRPr="002C4EAE" w:rsidRDefault="002C4EAE" w:rsidP="002C4EAE">
      <w:pPr>
        <w:shd w:val="clear" w:color="auto" w:fill="FFFFFF"/>
        <w:spacing w:after="0" w:line="240" w:lineRule="auto"/>
        <w:rPr>
          <w:rFonts w:ascii="Times New Roman" w:eastAsia="Times New Roman" w:hAnsi="Times New Roman" w:cs="Times New Roman"/>
          <w:color w:val="0D0D0D"/>
          <w:sz w:val="24"/>
          <w:szCs w:val="24"/>
        </w:rPr>
      </w:pPr>
    </w:p>
    <w:p w14:paraId="2B097ABC" w14:textId="77777777" w:rsidR="00A70719" w:rsidRDefault="004E12F5">
      <w:pPr>
        <w:pStyle w:val="Heading2"/>
        <w:rPr>
          <w:rFonts w:ascii="Times New Roman" w:eastAsia="Times New Roman" w:hAnsi="Times New Roman" w:cs="Times New Roman"/>
        </w:rPr>
      </w:pPr>
      <w:r>
        <w:lastRenderedPageBreak/>
        <w:t>A</w:t>
      </w:r>
      <w:r>
        <w:t>CI Worldwide, Inc. Overview</w:t>
      </w:r>
    </w:p>
    <w:p w14:paraId="25B64E66" w14:textId="77777777" w:rsidR="00A70719" w:rsidRDefault="00A70719">
      <w:pPr>
        <w:shd w:val="clear" w:color="auto" w:fill="FFFFFF"/>
        <w:spacing w:after="0" w:line="240" w:lineRule="auto"/>
        <w:rPr>
          <w:rFonts w:ascii="Times New Roman" w:eastAsia="Times New Roman" w:hAnsi="Times New Roman" w:cs="Times New Roman"/>
          <w:color w:val="0D0D0D"/>
          <w:sz w:val="24"/>
          <w:szCs w:val="24"/>
        </w:rPr>
      </w:pPr>
    </w:p>
    <w:p w14:paraId="5DEA5933" w14:textId="77777777" w:rsidR="00A70719" w:rsidRPr="002C4EAE" w:rsidRDefault="004E12F5">
      <w:pPr>
        <w:spacing w:after="0" w:line="240" w:lineRule="auto"/>
        <w:rPr>
          <w:rFonts w:ascii="Times New Roman" w:eastAsia="Times New Roman" w:hAnsi="Times New Roman" w:cs="Times New Roman"/>
          <w:b/>
          <w:bCs/>
          <w:color w:val="0D0D0D"/>
          <w:sz w:val="32"/>
          <w:szCs w:val="32"/>
        </w:rPr>
      </w:pPr>
      <w:r w:rsidRPr="002C4EAE">
        <w:rPr>
          <w:b/>
          <w:bCs/>
          <w:sz w:val="32"/>
          <w:szCs w:val="32"/>
        </w:rPr>
        <w:t>Core Business:</w:t>
      </w:r>
    </w:p>
    <w:p w14:paraId="026CD192" w14:textId="77777777" w:rsidR="00A70719" w:rsidRPr="002C4EAE" w:rsidRDefault="004E12F5">
      <w:pPr>
        <w:numPr>
          <w:ilvl w:val="0"/>
          <w:numId w:val="5"/>
        </w:numPr>
        <w:spacing w:after="0" w:line="240" w:lineRule="auto"/>
        <w:rPr>
          <w:rFonts w:ascii="Times New Roman" w:eastAsia="Times New Roman" w:hAnsi="Times New Roman" w:cs="Times New Roman"/>
          <w:color w:val="0D0D0D"/>
          <w:sz w:val="28"/>
          <w:szCs w:val="28"/>
        </w:rPr>
      </w:pPr>
      <w:r w:rsidRPr="002C4EAE">
        <w:rPr>
          <w:sz w:val="24"/>
          <w:szCs w:val="24"/>
        </w:rPr>
        <w:t xml:space="preserve">ACI Worldwide is a leading electronic payment and banking system provider, offering </w:t>
      </w:r>
      <w:r w:rsidRPr="002C4EAE">
        <w:rPr>
          <w:sz w:val="24"/>
          <w:szCs w:val="24"/>
        </w:rPr>
        <w:t>various software solutions designed for real-time, immediate payments. Serving a diverse clientele that includes financial institutions, merchants, billers, and governmental entities, ACI operates in over 70 markets worldwide. The company's offerings span digital payment processing and management, omni-commerce payment facilitation, bill payment processing, and fraud and risk management across multiple sectors.</w:t>
      </w:r>
    </w:p>
    <w:p w14:paraId="23B091ED" w14:textId="77777777" w:rsidR="00A70719" w:rsidRPr="002C4EAE" w:rsidRDefault="00A70719">
      <w:pPr>
        <w:spacing w:after="0" w:line="240" w:lineRule="auto"/>
        <w:rPr>
          <w:rFonts w:ascii="Times New Roman" w:eastAsia="Times New Roman" w:hAnsi="Times New Roman" w:cs="Times New Roman"/>
          <w:color w:val="0D0D0D"/>
          <w:sz w:val="28"/>
          <w:szCs w:val="28"/>
        </w:rPr>
      </w:pPr>
    </w:p>
    <w:p w14:paraId="47DAFA4E" w14:textId="77777777" w:rsidR="00A70719" w:rsidRPr="002C4EAE" w:rsidRDefault="004E12F5">
      <w:pPr>
        <w:numPr>
          <w:ilvl w:val="0"/>
          <w:numId w:val="5"/>
        </w:numPr>
        <w:spacing w:after="0" w:line="240" w:lineRule="auto"/>
        <w:rPr>
          <w:rFonts w:ascii="Times New Roman" w:eastAsia="Times New Roman" w:hAnsi="Times New Roman" w:cs="Times New Roman"/>
          <w:color w:val="0D0D0D"/>
          <w:sz w:val="28"/>
          <w:szCs w:val="28"/>
        </w:rPr>
      </w:pPr>
      <w:r w:rsidRPr="002C4EAE">
        <w:rPr>
          <w:sz w:val="24"/>
          <w:szCs w:val="24"/>
        </w:rPr>
        <w:t xml:space="preserve">ACI focuses on serving banks, intermediaries, merchants, and billers, offering solutions that enhance operational efficiency, reduce costs, and improve customer experiences across various transaction points like ATMs, POS terminals, and online platforms. The company targets large and mid-sized banks globally, providing systems that facilitate payment efficiency and compliance in a competitive market. It also supports intermediaries and merchants with scalable payment platforms and offers billers electronic </w:t>
      </w:r>
      <w:r w:rsidRPr="002C4EAE">
        <w:rPr>
          <w:sz w:val="24"/>
          <w:szCs w:val="24"/>
        </w:rPr>
        <w:t>bill presentation and payment services.</w:t>
      </w:r>
    </w:p>
    <w:p w14:paraId="36C15E93" w14:textId="77777777" w:rsidR="00A70719" w:rsidRPr="002C4EAE" w:rsidRDefault="00A70719">
      <w:pPr>
        <w:spacing w:after="0" w:line="240" w:lineRule="auto"/>
        <w:ind w:left="720"/>
        <w:rPr>
          <w:rFonts w:ascii="Times New Roman" w:eastAsia="Times New Roman" w:hAnsi="Times New Roman" w:cs="Times New Roman"/>
          <w:color w:val="0D0D0D"/>
          <w:sz w:val="28"/>
          <w:szCs w:val="28"/>
        </w:rPr>
      </w:pPr>
    </w:p>
    <w:p w14:paraId="3355F7E2" w14:textId="77777777" w:rsidR="00A70719" w:rsidRPr="002C4EAE" w:rsidRDefault="004E12F5">
      <w:pPr>
        <w:numPr>
          <w:ilvl w:val="0"/>
          <w:numId w:val="5"/>
        </w:numPr>
        <w:spacing w:after="0" w:line="240" w:lineRule="auto"/>
        <w:rPr>
          <w:rFonts w:ascii="Times New Roman" w:eastAsia="Times New Roman" w:hAnsi="Times New Roman" w:cs="Times New Roman"/>
          <w:color w:val="0D0D0D"/>
          <w:sz w:val="28"/>
          <w:szCs w:val="28"/>
        </w:rPr>
      </w:pPr>
      <w:r w:rsidRPr="002C4EAE">
        <w:rPr>
          <w:sz w:val="24"/>
          <w:szCs w:val="24"/>
        </w:rPr>
        <w:t xml:space="preserve">Key to ACI's strategy is its emphasis on issuing and acquiring, delivering consumer payment solutions that align with the open </w:t>
      </w:r>
      <w:proofErr w:type="gramStart"/>
      <w:r w:rsidRPr="002C4EAE">
        <w:rPr>
          <w:sz w:val="24"/>
          <w:szCs w:val="24"/>
        </w:rPr>
        <w:t>payments</w:t>
      </w:r>
      <w:proofErr w:type="gramEnd"/>
      <w:r w:rsidRPr="002C4EAE">
        <w:rPr>
          <w:sz w:val="24"/>
          <w:szCs w:val="24"/>
        </w:rPr>
        <w:t xml:space="preserve"> ecosystem. Strategic partnerships with major firms like Microsoft and Oracle expand ACI's reach and capabilities. Despite competition from in-house IT departments, third-party processors, and other software providers, including heavyweights like FIS, Fiserv, and Mastercard, ACI stands out for its comprehensive solutions and global presence. As of the end of 2023, ACI serves over 6,000 organizations, including the top 10 banks by assets and over 80,000 merchants in more than 95 countries, facilitate</w:t>
      </w:r>
      <w:r w:rsidRPr="002C4EAE">
        <w:rPr>
          <w:sz w:val="24"/>
          <w:szCs w:val="24"/>
        </w:rPr>
        <w:t>d by its extensive sales and support network across the Americas, EMEA, and Asia Pacific.</w:t>
      </w:r>
    </w:p>
    <w:p w14:paraId="041361B6" w14:textId="77777777" w:rsidR="00A70719" w:rsidRDefault="00A70719">
      <w:pPr>
        <w:spacing w:after="0" w:line="240" w:lineRule="auto"/>
        <w:rPr>
          <w:rFonts w:ascii="Times New Roman" w:eastAsia="Times New Roman" w:hAnsi="Times New Roman" w:cs="Times New Roman"/>
          <w:color w:val="0D0D0D"/>
          <w:sz w:val="24"/>
          <w:szCs w:val="24"/>
        </w:rPr>
      </w:pPr>
    </w:p>
    <w:p w14:paraId="769836F7" w14:textId="77777777" w:rsidR="00A70719" w:rsidRPr="002C4EAE" w:rsidRDefault="004E12F5">
      <w:pPr>
        <w:shd w:val="clear" w:color="auto" w:fill="FFFFFF"/>
        <w:spacing w:after="0" w:line="240" w:lineRule="auto"/>
        <w:rPr>
          <w:rFonts w:ascii="Times New Roman" w:eastAsia="Times New Roman" w:hAnsi="Times New Roman" w:cs="Times New Roman"/>
          <w:b/>
          <w:bCs/>
          <w:color w:val="0D0D0D"/>
          <w:sz w:val="32"/>
          <w:szCs w:val="32"/>
        </w:rPr>
      </w:pPr>
      <w:r w:rsidRPr="002C4EAE">
        <w:rPr>
          <w:b/>
          <w:bCs/>
          <w:sz w:val="32"/>
          <w:szCs w:val="32"/>
        </w:rPr>
        <w:t>Market Cap:</w:t>
      </w:r>
    </w:p>
    <w:p w14:paraId="4881963E" w14:textId="77777777" w:rsidR="00A70719" w:rsidRDefault="00A70719">
      <w:pPr>
        <w:shd w:val="clear" w:color="auto" w:fill="FFFFFF"/>
        <w:spacing w:after="0" w:line="240" w:lineRule="auto"/>
        <w:rPr>
          <w:rFonts w:ascii="Times New Roman" w:eastAsia="Times New Roman" w:hAnsi="Times New Roman" w:cs="Times New Roman"/>
          <w:color w:val="0D0D0D"/>
          <w:sz w:val="24"/>
          <w:szCs w:val="24"/>
        </w:rPr>
      </w:pPr>
    </w:p>
    <w:p w14:paraId="2E6DB3BF" w14:textId="77777777" w:rsidR="00A70719" w:rsidRPr="002C4EAE" w:rsidRDefault="004E12F5">
      <w:pPr>
        <w:shd w:val="clear" w:color="auto" w:fill="FFFFFF"/>
        <w:spacing w:after="0" w:line="240" w:lineRule="auto"/>
        <w:rPr>
          <w:rFonts w:ascii="Times New Roman" w:eastAsia="Times New Roman" w:hAnsi="Times New Roman" w:cs="Times New Roman"/>
          <w:color w:val="0D0D0D"/>
          <w:sz w:val="24"/>
          <w:szCs w:val="24"/>
        </w:rPr>
      </w:pPr>
      <w:r w:rsidRPr="002C4EAE">
        <w:rPr>
          <w:sz w:val="24"/>
          <w:szCs w:val="24"/>
        </w:rPr>
        <w:t xml:space="preserve">Early 2024 reports indicate ACI </w:t>
      </w:r>
      <w:proofErr w:type="spellStart"/>
      <w:r w:rsidRPr="002C4EAE">
        <w:rPr>
          <w:sz w:val="24"/>
          <w:szCs w:val="24"/>
        </w:rPr>
        <w:t>Worldwide's</w:t>
      </w:r>
      <w:proofErr w:type="spellEnd"/>
      <w:r w:rsidRPr="002C4EAE">
        <w:rPr>
          <w:sz w:val="24"/>
          <w:szCs w:val="24"/>
        </w:rPr>
        <w:t xml:space="preserve"> market capitalization at </w:t>
      </w:r>
      <w:r w:rsidRPr="002C4EAE">
        <w:rPr>
          <w:sz w:val="24"/>
          <w:szCs w:val="24"/>
        </w:rPr>
        <w:t>approximately $3.866 billion. (Company Announcement - FT.com, 2024)</w:t>
      </w:r>
    </w:p>
    <w:p w14:paraId="41957D74" w14:textId="77777777" w:rsidR="00A70719" w:rsidRPr="002C4EAE" w:rsidRDefault="00A70719">
      <w:pPr>
        <w:shd w:val="clear" w:color="auto" w:fill="FFFFFF"/>
        <w:spacing w:after="0" w:line="240" w:lineRule="auto"/>
        <w:rPr>
          <w:rFonts w:ascii="Times New Roman" w:eastAsia="Times New Roman" w:hAnsi="Times New Roman" w:cs="Times New Roman"/>
          <w:color w:val="0D0D0D"/>
          <w:sz w:val="24"/>
          <w:szCs w:val="24"/>
        </w:rPr>
      </w:pPr>
    </w:p>
    <w:p w14:paraId="1EFAA788" w14:textId="77777777" w:rsidR="00A70719" w:rsidRPr="002C4EAE" w:rsidRDefault="004E12F5">
      <w:pPr>
        <w:shd w:val="clear" w:color="auto" w:fill="FFFFFF"/>
        <w:spacing w:after="0" w:line="240" w:lineRule="auto"/>
        <w:rPr>
          <w:b/>
          <w:bCs/>
          <w:sz w:val="32"/>
          <w:szCs w:val="32"/>
        </w:rPr>
      </w:pPr>
      <w:r w:rsidRPr="002C4EAE">
        <w:rPr>
          <w:b/>
          <w:bCs/>
          <w:sz w:val="32"/>
          <w:szCs w:val="32"/>
        </w:rPr>
        <w:t>Financial Performance:</w:t>
      </w:r>
    </w:p>
    <w:p w14:paraId="10F9BE76" w14:textId="77777777" w:rsidR="00A70719" w:rsidRPr="002C4EAE" w:rsidRDefault="00A70719">
      <w:pPr>
        <w:shd w:val="clear" w:color="auto" w:fill="FFFFFF"/>
        <w:spacing w:after="0" w:line="240" w:lineRule="auto"/>
        <w:rPr>
          <w:rFonts w:ascii="Times New Roman" w:eastAsia="Times New Roman" w:hAnsi="Times New Roman" w:cs="Times New Roman"/>
          <w:color w:val="0D0D0D"/>
          <w:sz w:val="24"/>
          <w:szCs w:val="24"/>
        </w:rPr>
      </w:pPr>
    </w:p>
    <w:p w14:paraId="580C753B" w14:textId="77777777" w:rsidR="00A70719" w:rsidRPr="002C4EAE" w:rsidRDefault="004E12F5">
      <w:pPr>
        <w:spacing w:after="0" w:line="240" w:lineRule="auto"/>
        <w:rPr>
          <w:rFonts w:ascii="Times New Roman" w:eastAsia="Times New Roman" w:hAnsi="Times New Roman" w:cs="Times New Roman"/>
          <w:color w:val="0D0D0D"/>
          <w:sz w:val="24"/>
          <w:szCs w:val="24"/>
        </w:rPr>
      </w:pPr>
      <w:r w:rsidRPr="002C4EAE">
        <w:rPr>
          <w:sz w:val="24"/>
          <w:szCs w:val="24"/>
        </w:rPr>
        <w:t xml:space="preserve">ACI Worldwide, Inc. ended 2023 with notable growth: Q4 </w:t>
      </w:r>
      <w:proofErr w:type="gramStart"/>
      <w:r w:rsidRPr="002C4EAE">
        <w:rPr>
          <w:sz w:val="24"/>
          <w:szCs w:val="24"/>
        </w:rPr>
        <w:t>revenue</w:t>
      </w:r>
      <w:proofErr w:type="gramEnd"/>
      <w:r w:rsidRPr="002C4EAE">
        <w:rPr>
          <w:sz w:val="24"/>
          <w:szCs w:val="24"/>
        </w:rPr>
        <w:t xml:space="preserve"> up 5% to $477M, full-year revenue increased to $1.45B, and net income rose to $122M. Adjusted EBITDA grew 10% to $395M. With a strong cash position and optimistic growth projections of 7-9% for 2024, ACI demonstrates solid financial health and market optimism. (Company Announcement - FT.com, 2024)</w:t>
      </w:r>
    </w:p>
    <w:p w14:paraId="49929729" w14:textId="77777777" w:rsidR="00A70719" w:rsidRDefault="004E12F5">
      <w:pPr>
        <w:pStyle w:val="Heading1"/>
        <w:rPr>
          <w:rFonts w:ascii="Times New Roman" w:eastAsia="Times New Roman" w:hAnsi="Times New Roman" w:cs="Times New Roman"/>
        </w:rPr>
      </w:pPr>
      <w:r>
        <w:lastRenderedPageBreak/>
        <w:t xml:space="preserve">Risk Identification </w:t>
      </w:r>
    </w:p>
    <w:p w14:paraId="17BDE846" w14:textId="77777777" w:rsidR="00A70719" w:rsidRPr="002C4EAE" w:rsidRDefault="004E12F5">
      <w:pPr>
        <w:spacing w:before="240" w:after="240" w:line="240" w:lineRule="auto"/>
        <w:rPr>
          <w:rFonts w:ascii="Times New Roman" w:eastAsia="Times New Roman" w:hAnsi="Times New Roman" w:cs="Times New Roman"/>
          <w:sz w:val="24"/>
          <w:szCs w:val="24"/>
        </w:rPr>
      </w:pPr>
      <w:r w:rsidRPr="002C4EAE">
        <w:rPr>
          <w:sz w:val="24"/>
          <w:szCs w:val="24"/>
        </w:rPr>
        <w:t>We conducted an in-depth comparative analysis of the risk sections within the 10-K annual reports of both PayPal and ACI Worldwide. This involved identifying and cataloging specific risks disclosed by each company. We aim to provide a comprehensive and comparative overview of both companies' potential hurdles and uncertainties within the Fintech industries and operational frameworks. Below is a detailed examination of the inherent risks embedded in their business models as per their 10k report.</w:t>
      </w:r>
    </w:p>
    <w:p w14:paraId="6B8479E1" w14:textId="77777777" w:rsidR="00A70719" w:rsidRDefault="00A70719">
      <w:pPr>
        <w:rPr>
          <w:rFonts w:ascii="Times New Roman" w:eastAsia="Times New Roman" w:hAnsi="Times New Roman" w:cs="Times New Roman"/>
        </w:rPr>
      </w:pPr>
    </w:p>
    <w:tbl>
      <w:tblPr>
        <w:tblStyle w:val="Table1"/>
        <w:tblW w:w="10380"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1740"/>
        <w:gridCol w:w="4379"/>
        <w:gridCol w:w="4261"/>
      </w:tblGrid>
      <w:tr w:rsidR="00A70719" w14:paraId="4991B5CB" w14:textId="77777777" w:rsidTr="00216D77">
        <w:trPr>
          <w:tblHeader/>
        </w:trPr>
        <w:tc>
          <w:tcPr>
            <w:tcW w:w="1740" w:type="dxa"/>
            <w:tcBorders>
              <w:top w:val="single" w:sz="6" w:space="0" w:color="E3E3E3"/>
              <w:left w:val="single" w:sz="6" w:space="0" w:color="E3E3E3"/>
              <w:bottom w:val="single" w:sz="6" w:space="0" w:color="E3E3E3"/>
              <w:right w:val="single" w:sz="4" w:space="0" w:color="E3E3E3"/>
            </w:tcBorders>
            <w:shd w:val="clear" w:color="auto" w:fill="595959" w:themeFill="text1" w:themeFillTint="A6"/>
            <w:vAlign w:val="center"/>
          </w:tcPr>
          <w:p w14:paraId="54448C45" w14:textId="77777777" w:rsidR="00A70719" w:rsidRPr="00216D77" w:rsidRDefault="004E12F5" w:rsidP="00216D77">
            <w:pPr>
              <w:spacing w:after="0" w:line="240" w:lineRule="auto"/>
              <w:rPr>
                <w:rFonts w:ascii="Times New Roman" w:eastAsia="Times New Roman" w:hAnsi="Times New Roman" w:cs="Times New Roman"/>
                <w:b/>
                <w:color w:val="E8E8E8" w:themeColor="background2"/>
                <w:sz w:val="21"/>
                <w:szCs w:val="21"/>
              </w:rPr>
            </w:pPr>
            <w:r w:rsidRPr="00216D77">
              <w:rPr>
                <w:rFonts w:ascii="Times New Roman" w:eastAsia="Times New Roman" w:hAnsi="Times New Roman" w:cs="Times New Roman"/>
                <w:b/>
                <w:color w:val="E8E8E8" w:themeColor="background2"/>
                <w:sz w:val="21"/>
                <w:szCs w:val="21"/>
              </w:rPr>
              <w:t>Risk Factor</w:t>
            </w:r>
          </w:p>
        </w:tc>
        <w:tc>
          <w:tcPr>
            <w:tcW w:w="4379" w:type="dxa"/>
            <w:tcBorders>
              <w:top w:val="single" w:sz="6" w:space="0" w:color="E3E3E3"/>
              <w:left w:val="single" w:sz="6" w:space="0" w:color="E3E3E3"/>
              <w:bottom w:val="single" w:sz="6" w:space="0" w:color="E3E3E3"/>
              <w:right w:val="single" w:sz="4" w:space="0" w:color="E3E3E3"/>
            </w:tcBorders>
            <w:shd w:val="clear" w:color="auto" w:fill="595959" w:themeFill="text1" w:themeFillTint="A6"/>
            <w:vAlign w:val="center"/>
          </w:tcPr>
          <w:p w14:paraId="64C623AF" w14:textId="77777777" w:rsidR="00A70719" w:rsidRPr="00216D77" w:rsidRDefault="004E12F5" w:rsidP="00216D77">
            <w:pPr>
              <w:spacing w:after="0" w:line="240" w:lineRule="auto"/>
              <w:rPr>
                <w:rFonts w:ascii="Times New Roman" w:eastAsia="Times New Roman" w:hAnsi="Times New Roman" w:cs="Times New Roman"/>
                <w:b/>
                <w:color w:val="E8E8E8" w:themeColor="background2"/>
                <w:sz w:val="21"/>
                <w:szCs w:val="21"/>
              </w:rPr>
            </w:pPr>
            <w:r w:rsidRPr="00216D77">
              <w:rPr>
                <w:rFonts w:ascii="Times New Roman" w:eastAsia="Times New Roman" w:hAnsi="Times New Roman" w:cs="Times New Roman"/>
                <w:b/>
                <w:color w:val="E8E8E8" w:themeColor="background2"/>
                <w:sz w:val="21"/>
                <w:szCs w:val="21"/>
              </w:rPr>
              <w:t>PayPal</w:t>
            </w:r>
          </w:p>
        </w:tc>
        <w:tc>
          <w:tcPr>
            <w:tcW w:w="4261" w:type="dxa"/>
            <w:tcBorders>
              <w:top w:val="single" w:sz="6" w:space="0" w:color="E3E3E3"/>
              <w:left w:val="single" w:sz="6" w:space="0" w:color="E3E3E3"/>
              <w:bottom w:val="single" w:sz="6" w:space="0" w:color="E3E3E3"/>
              <w:right w:val="single" w:sz="6" w:space="0" w:color="E3E3E3"/>
            </w:tcBorders>
            <w:shd w:val="clear" w:color="auto" w:fill="595959" w:themeFill="text1" w:themeFillTint="A6"/>
            <w:vAlign w:val="center"/>
          </w:tcPr>
          <w:p w14:paraId="2053CAA4" w14:textId="77777777" w:rsidR="00A70719" w:rsidRPr="00216D77" w:rsidRDefault="004E12F5" w:rsidP="00216D77">
            <w:pPr>
              <w:spacing w:after="0" w:line="240" w:lineRule="auto"/>
              <w:rPr>
                <w:rFonts w:ascii="Times New Roman" w:eastAsia="Times New Roman" w:hAnsi="Times New Roman" w:cs="Times New Roman"/>
                <w:b/>
                <w:color w:val="E8E8E8" w:themeColor="background2"/>
                <w:sz w:val="21"/>
                <w:szCs w:val="21"/>
              </w:rPr>
            </w:pPr>
            <w:r w:rsidRPr="00216D77">
              <w:rPr>
                <w:rFonts w:ascii="Times New Roman" w:eastAsia="Times New Roman" w:hAnsi="Times New Roman" w:cs="Times New Roman"/>
                <w:b/>
                <w:color w:val="E8E8E8" w:themeColor="background2"/>
                <w:sz w:val="21"/>
                <w:szCs w:val="21"/>
              </w:rPr>
              <w:t>ACI Worldwide</w:t>
            </w:r>
          </w:p>
        </w:tc>
      </w:tr>
      <w:tr w:rsidR="00A70719" w14:paraId="2AD5D9BB" w14:textId="77777777" w:rsidTr="00216D77">
        <w:tc>
          <w:tcPr>
            <w:tcW w:w="1740" w:type="dxa"/>
            <w:tcBorders>
              <w:top w:val="single" w:sz="4" w:space="0" w:color="E3E3E3"/>
              <w:left w:val="single" w:sz="6" w:space="0" w:color="E3E3E3"/>
              <w:bottom w:val="single" w:sz="6" w:space="0" w:color="E3E3E3"/>
              <w:right w:val="single" w:sz="4" w:space="0" w:color="E3E3E3"/>
            </w:tcBorders>
            <w:shd w:val="clear" w:color="auto" w:fill="D1D1D1" w:themeFill="background2" w:themeFillShade="E6"/>
            <w:vAlign w:val="center"/>
          </w:tcPr>
          <w:p w14:paraId="75F7F9C5" w14:textId="77777777" w:rsidR="00A70719" w:rsidRDefault="004E12F5" w:rsidP="00216D77">
            <w:pPr>
              <w:spacing w:after="0" w:line="24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Cybersecurity and Technology Risks</w:t>
            </w:r>
          </w:p>
        </w:tc>
        <w:tc>
          <w:tcPr>
            <w:tcW w:w="4379" w:type="dxa"/>
            <w:tcBorders>
              <w:top w:val="single" w:sz="4" w:space="0" w:color="E3E3E3"/>
              <w:left w:val="single" w:sz="6" w:space="0" w:color="E3E3E3"/>
              <w:bottom w:val="single" w:sz="6" w:space="0" w:color="E3E3E3"/>
              <w:right w:val="single" w:sz="4" w:space="0" w:color="E3E3E3"/>
            </w:tcBorders>
            <w:shd w:val="clear" w:color="auto" w:fill="E8E8E8" w:themeFill="background2"/>
            <w:vAlign w:val="center"/>
          </w:tcPr>
          <w:p w14:paraId="4535F047" w14:textId="77777777" w:rsidR="00A70719" w:rsidRDefault="004E12F5" w:rsidP="00216D77">
            <w:pPr>
              <w:spacing w:after="0" w:line="240" w:lineRule="auto"/>
              <w:rPr>
                <w:rFonts w:ascii="Times New Roman" w:eastAsia="Times New Roman" w:hAnsi="Times New Roman" w:cs="Times New Roman"/>
                <w:sz w:val="21"/>
                <w:szCs w:val="21"/>
              </w:rPr>
            </w:pPr>
            <w:proofErr w:type="spellStart"/>
            <w:r>
              <w:rPr>
                <w:rFonts w:ascii="Times New Roman" w:eastAsia="Times New Roman" w:hAnsi="Times New Roman" w:cs="Times New Roman"/>
                <w:sz w:val="21"/>
                <w:szCs w:val="21"/>
              </w:rPr>
              <w:t>Paypal</w:t>
            </w:r>
            <w:proofErr w:type="spellEnd"/>
            <w:r>
              <w:rPr>
                <w:rFonts w:ascii="Times New Roman" w:eastAsia="Times New Roman" w:hAnsi="Times New Roman" w:cs="Times New Roman"/>
                <w:sz w:val="21"/>
                <w:szCs w:val="21"/>
              </w:rPr>
              <w:t xml:space="preserve"> acknowledges the risk of cybersecurity incidents, including breaches of security measures and network breaches, which could lead to significant costs, loss of customer confidence, and damage to reputation.</w:t>
            </w:r>
          </w:p>
        </w:tc>
        <w:tc>
          <w:tcPr>
            <w:tcW w:w="4261" w:type="dxa"/>
            <w:tcBorders>
              <w:top w:val="single" w:sz="4" w:space="0" w:color="E3E3E3"/>
              <w:left w:val="single" w:sz="6" w:space="0" w:color="E3E3E3"/>
              <w:bottom w:val="single" w:sz="6" w:space="0" w:color="E3E3E3"/>
              <w:right w:val="single" w:sz="6" w:space="0" w:color="E3E3E3"/>
            </w:tcBorders>
            <w:shd w:val="clear" w:color="auto" w:fill="E8E8E8" w:themeFill="background2"/>
            <w:vAlign w:val="center"/>
          </w:tcPr>
          <w:p w14:paraId="414FBB6B" w14:textId="77777777" w:rsidR="00A70719" w:rsidRDefault="004E12F5" w:rsidP="00216D77">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ACI also emphasizes the importance of cybersecurity, noting that breaches could compromise sensitive data, leading to financial losses, regulatory penalties, and damage to the company's reputation.</w:t>
            </w:r>
          </w:p>
        </w:tc>
      </w:tr>
      <w:tr w:rsidR="00A70719" w14:paraId="0DC5996F" w14:textId="77777777" w:rsidTr="00216D77">
        <w:tc>
          <w:tcPr>
            <w:tcW w:w="1740" w:type="dxa"/>
            <w:tcBorders>
              <w:top w:val="single" w:sz="4" w:space="0" w:color="E3E3E3"/>
              <w:left w:val="single" w:sz="6" w:space="0" w:color="E3E3E3"/>
              <w:bottom w:val="single" w:sz="6" w:space="0" w:color="E3E3E3"/>
              <w:right w:val="single" w:sz="4" w:space="0" w:color="E3E3E3"/>
            </w:tcBorders>
            <w:shd w:val="clear" w:color="auto" w:fill="D1D1D1" w:themeFill="background2" w:themeFillShade="E6"/>
            <w:vAlign w:val="center"/>
          </w:tcPr>
          <w:p w14:paraId="690E96F3" w14:textId="77777777" w:rsidR="00A70719" w:rsidRDefault="004E12F5" w:rsidP="00216D77">
            <w:pPr>
              <w:spacing w:after="0" w:line="240" w:lineRule="auto"/>
              <w:rPr>
                <w:rFonts w:ascii="Times New Roman" w:eastAsia="Times New Roman" w:hAnsi="Times New Roman" w:cs="Times New Roman"/>
                <w:b/>
                <w:sz w:val="25"/>
                <w:szCs w:val="25"/>
              </w:rPr>
            </w:pPr>
            <w:r>
              <w:rPr>
                <w:rFonts w:ascii="Times New Roman" w:eastAsia="Times New Roman" w:hAnsi="Times New Roman" w:cs="Times New Roman"/>
                <w:b/>
                <w:sz w:val="25"/>
                <w:szCs w:val="25"/>
              </w:rPr>
              <w:t>Market</w:t>
            </w:r>
          </w:p>
          <w:p w14:paraId="6FC1D512" w14:textId="77777777" w:rsidR="00A70719" w:rsidRDefault="004E12F5" w:rsidP="00216D77">
            <w:pPr>
              <w:spacing w:after="0" w:line="240" w:lineRule="auto"/>
              <w:rPr>
                <w:rFonts w:ascii="Times New Roman" w:eastAsia="Times New Roman" w:hAnsi="Times New Roman" w:cs="Times New Roman"/>
                <w:b/>
                <w:sz w:val="25"/>
                <w:szCs w:val="25"/>
              </w:rPr>
            </w:pPr>
            <w:r>
              <w:rPr>
                <w:rFonts w:ascii="Times New Roman" w:eastAsia="Times New Roman" w:hAnsi="Times New Roman" w:cs="Times New Roman"/>
                <w:b/>
                <w:sz w:val="25"/>
                <w:szCs w:val="25"/>
              </w:rPr>
              <w:t>Competition</w:t>
            </w:r>
          </w:p>
        </w:tc>
        <w:tc>
          <w:tcPr>
            <w:tcW w:w="4379" w:type="dxa"/>
            <w:tcBorders>
              <w:top w:val="single" w:sz="4" w:space="0" w:color="E3E3E3"/>
              <w:left w:val="single" w:sz="6" w:space="0" w:color="E3E3E3"/>
              <w:bottom w:val="single" w:sz="6" w:space="0" w:color="E3E3E3"/>
              <w:right w:val="single" w:sz="4" w:space="0" w:color="E3E3E3"/>
            </w:tcBorders>
            <w:shd w:val="clear" w:color="auto" w:fill="E8E8E8" w:themeFill="background2"/>
            <w:vAlign w:val="center"/>
          </w:tcPr>
          <w:p w14:paraId="7A1809D9" w14:textId="77777777" w:rsidR="00A70719" w:rsidRDefault="004E12F5" w:rsidP="00216D77">
            <w:pPr>
              <w:spacing w:after="0" w:line="240" w:lineRule="auto"/>
              <w:rPr>
                <w:rFonts w:ascii="Times New Roman" w:eastAsia="Times New Roman" w:hAnsi="Times New Roman" w:cs="Times New Roman"/>
                <w:sz w:val="25"/>
                <w:szCs w:val="25"/>
              </w:rPr>
            </w:pPr>
            <w:proofErr w:type="spellStart"/>
            <w:r>
              <w:rPr>
                <w:rFonts w:ascii="Times New Roman" w:eastAsia="Times New Roman" w:hAnsi="Times New Roman" w:cs="Times New Roman"/>
                <w:sz w:val="25"/>
                <w:szCs w:val="25"/>
              </w:rPr>
              <w:t>Paypal</w:t>
            </w:r>
            <w:proofErr w:type="spellEnd"/>
            <w:r>
              <w:rPr>
                <w:rFonts w:ascii="Times New Roman" w:eastAsia="Times New Roman" w:hAnsi="Times New Roman" w:cs="Times New Roman"/>
                <w:sz w:val="25"/>
                <w:szCs w:val="25"/>
              </w:rPr>
              <w:t xml:space="preserve"> considers that competition from </w:t>
            </w:r>
            <w:r>
              <w:rPr>
                <w:rFonts w:ascii="Times New Roman" w:eastAsia="Times New Roman" w:hAnsi="Times New Roman" w:cs="Times New Roman"/>
                <w:sz w:val="25"/>
                <w:szCs w:val="25"/>
              </w:rPr>
              <w:t>various businesses, including banks, financial institutions, and other electronic payment methods, could impact its market share and profitability.</w:t>
            </w:r>
          </w:p>
        </w:tc>
        <w:tc>
          <w:tcPr>
            <w:tcW w:w="4261" w:type="dxa"/>
            <w:tcBorders>
              <w:top w:val="single" w:sz="4" w:space="0" w:color="E3E3E3"/>
              <w:left w:val="single" w:sz="6" w:space="0" w:color="E3E3E3"/>
              <w:bottom w:val="single" w:sz="6" w:space="0" w:color="E3E3E3"/>
              <w:right w:val="single" w:sz="6" w:space="0" w:color="E3E3E3"/>
            </w:tcBorders>
            <w:shd w:val="clear" w:color="auto" w:fill="E8E8E8" w:themeFill="background2"/>
            <w:vAlign w:val="center"/>
          </w:tcPr>
          <w:p w14:paraId="073EC2D8" w14:textId="77777777" w:rsidR="00A70719" w:rsidRDefault="004E12F5" w:rsidP="00216D77">
            <w:pPr>
              <w:spacing w:after="0" w:line="24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Similarly, it operates in a highly competitive market, with competition from various payment solutions providers, which could affect its ability to retain and attract customers.</w:t>
            </w:r>
          </w:p>
        </w:tc>
      </w:tr>
      <w:tr w:rsidR="00A70719" w14:paraId="2A443B8F" w14:textId="77777777" w:rsidTr="00216D77">
        <w:tc>
          <w:tcPr>
            <w:tcW w:w="1740" w:type="dxa"/>
            <w:tcBorders>
              <w:top w:val="single" w:sz="4" w:space="0" w:color="E3E3E3"/>
              <w:left w:val="single" w:sz="6" w:space="0" w:color="E3E3E3"/>
              <w:bottom w:val="single" w:sz="6" w:space="0" w:color="E3E3E3"/>
              <w:right w:val="single" w:sz="4" w:space="0" w:color="E3E3E3"/>
            </w:tcBorders>
            <w:shd w:val="clear" w:color="auto" w:fill="D1D1D1" w:themeFill="background2" w:themeFillShade="E6"/>
            <w:vAlign w:val="center"/>
          </w:tcPr>
          <w:p w14:paraId="709BFD4E" w14:textId="77777777" w:rsidR="00A70719" w:rsidRDefault="004E12F5" w:rsidP="00216D77">
            <w:pPr>
              <w:spacing w:after="0" w:line="240" w:lineRule="auto"/>
              <w:rPr>
                <w:rFonts w:ascii="Times New Roman" w:eastAsia="Times New Roman" w:hAnsi="Times New Roman" w:cs="Times New Roman"/>
                <w:b/>
                <w:sz w:val="25"/>
                <w:szCs w:val="25"/>
              </w:rPr>
            </w:pPr>
            <w:r>
              <w:rPr>
                <w:rFonts w:ascii="Times New Roman" w:eastAsia="Times New Roman" w:hAnsi="Times New Roman" w:cs="Times New Roman"/>
                <w:b/>
                <w:sz w:val="25"/>
                <w:szCs w:val="25"/>
              </w:rPr>
              <w:t>Regulatory Risks</w:t>
            </w:r>
          </w:p>
        </w:tc>
        <w:tc>
          <w:tcPr>
            <w:tcW w:w="4379" w:type="dxa"/>
            <w:tcBorders>
              <w:top w:val="single" w:sz="4" w:space="0" w:color="E3E3E3"/>
              <w:left w:val="single" w:sz="6" w:space="0" w:color="E3E3E3"/>
              <w:bottom w:val="single" w:sz="6" w:space="0" w:color="E3E3E3"/>
              <w:right w:val="single" w:sz="4" w:space="0" w:color="E3E3E3"/>
            </w:tcBorders>
            <w:shd w:val="clear" w:color="auto" w:fill="E8E8E8" w:themeFill="background2"/>
            <w:vAlign w:val="center"/>
          </w:tcPr>
          <w:p w14:paraId="2B518C34" w14:textId="77777777" w:rsidR="00A70719" w:rsidRDefault="004E12F5" w:rsidP="00216D77">
            <w:pPr>
              <w:spacing w:after="0" w:line="240" w:lineRule="auto"/>
              <w:rPr>
                <w:rFonts w:ascii="Times New Roman" w:eastAsia="Times New Roman" w:hAnsi="Times New Roman" w:cs="Times New Roman"/>
                <w:sz w:val="25"/>
                <w:szCs w:val="25"/>
              </w:rPr>
            </w:pPr>
            <w:proofErr w:type="spellStart"/>
            <w:r>
              <w:rPr>
                <w:rFonts w:ascii="Times New Roman" w:eastAsia="Times New Roman" w:hAnsi="Times New Roman" w:cs="Times New Roman"/>
                <w:sz w:val="25"/>
                <w:szCs w:val="25"/>
              </w:rPr>
              <w:t>Paypal</w:t>
            </w:r>
            <w:proofErr w:type="spellEnd"/>
            <w:r>
              <w:rPr>
                <w:rFonts w:ascii="Times New Roman" w:eastAsia="Times New Roman" w:hAnsi="Times New Roman" w:cs="Times New Roman"/>
                <w:sz w:val="25"/>
                <w:szCs w:val="25"/>
              </w:rPr>
              <w:t xml:space="preserve"> describes extensive regulations across different jurisdictions that could impact its operations, particularly concerning consumer protection, Privacy, and financial services.</w:t>
            </w:r>
          </w:p>
        </w:tc>
        <w:tc>
          <w:tcPr>
            <w:tcW w:w="4261" w:type="dxa"/>
            <w:tcBorders>
              <w:top w:val="single" w:sz="4" w:space="0" w:color="E3E3E3"/>
              <w:left w:val="single" w:sz="6" w:space="0" w:color="E3E3E3"/>
              <w:bottom w:val="single" w:sz="6" w:space="0" w:color="E3E3E3"/>
              <w:right w:val="single" w:sz="6" w:space="0" w:color="E3E3E3"/>
            </w:tcBorders>
            <w:shd w:val="clear" w:color="auto" w:fill="E8E8E8" w:themeFill="background2"/>
            <w:vAlign w:val="center"/>
          </w:tcPr>
          <w:p w14:paraId="727C6BE6" w14:textId="77777777" w:rsidR="00A70719" w:rsidRDefault="004E12F5" w:rsidP="00216D77">
            <w:pPr>
              <w:spacing w:after="0" w:line="24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ACI also highlights regulatory risks, including changes in laws and regulations related to payment systems and financial services, which could necessitate significant adjustments to its operations.</w:t>
            </w:r>
          </w:p>
        </w:tc>
      </w:tr>
      <w:tr w:rsidR="00A70719" w14:paraId="2435CE23" w14:textId="77777777" w:rsidTr="00216D77">
        <w:tc>
          <w:tcPr>
            <w:tcW w:w="1740" w:type="dxa"/>
            <w:tcBorders>
              <w:top w:val="single" w:sz="4" w:space="0" w:color="E3E3E3"/>
              <w:left w:val="single" w:sz="6" w:space="0" w:color="E3E3E3"/>
              <w:bottom w:val="single" w:sz="6" w:space="0" w:color="E3E3E3"/>
              <w:right w:val="single" w:sz="4" w:space="0" w:color="E3E3E3"/>
            </w:tcBorders>
            <w:shd w:val="clear" w:color="auto" w:fill="D1D1D1" w:themeFill="background2" w:themeFillShade="E6"/>
            <w:vAlign w:val="center"/>
          </w:tcPr>
          <w:p w14:paraId="16ADB119" w14:textId="77777777" w:rsidR="00A70719" w:rsidRDefault="004E12F5" w:rsidP="00216D77">
            <w:pPr>
              <w:spacing w:after="0" w:line="240" w:lineRule="auto"/>
              <w:rPr>
                <w:rFonts w:ascii="Times New Roman" w:eastAsia="Times New Roman" w:hAnsi="Times New Roman" w:cs="Times New Roman"/>
                <w:b/>
                <w:sz w:val="25"/>
                <w:szCs w:val="25"/>
              </w:rPr>
            </w:pPr>
            <w:r>
              <w:rPr>
                <w:rFonts w:ascii="Times New Roman" w:eastAsia="Times New Roman" w:hAnsi="Times New Roman" w:cs="Times New Roman"/>
                <w:b/>
                <w:sz w:val="25"/>
                <w:szCs w:val="25"/>
              </w:rPr>
              <w:t>International Operations</w:t>
            </w:r>
          </w:p>
        </w:tc>
        <w:tc>
          <w:tcPr>
            <w:tcW w:w="4379" w:type="dxa"/>
            <w:tcBorders>
              <w:top w:val="single" w:sz="4" w:space="0" w:color="E3E3E3"/>
              <w:left w:val="single" w:sz="6" w:space="0" w:color="E3E3E3"/>
              <w:bottom w:val="single" w:sz="6" w:space="0" w:color="E3E3E3"/>
              <w:right w:val="single" w:sz="4" w:space="0" w:color="E3E3E3"/>
            </w:tcBorders>
            <w:shd w:val="clear" w:color="auto" w:fill="E8E8E8" w:themeFill="background2"/>
            <w:vAlign w:val="center"/>
          </w:tcPr>
          <w:p w14:paraId="206FBEE3" w14:textId="77777777" w:rsidR="00A70719" w:rsidRDefault="004E12F5" w:rsidP="00216D77">
            <w:pPr>
              <w:spacing w:after="0" w:line="24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Their international operations expose them to risks such as legal and regulatory challenges, political instability, and currency fluctuations, which could affect their business.</w:t>
            </w:r>
          </w:p>
        </w:tc>
        <w:tc>
          <w:tcPr>
            <w:tcW w:w="4261" w:type="dxa"/>
            <w:tcBorders>
              <w:top w:val="single" w:sz="4" w:space="0" w:color="E3E3E3"/>
              <w:left w:val="single" w:sz="6" w:space="0" w:color="E3E3E3"/>
              <w:bottom w:val="single" w:sz="6" w:space="0" w:color="E3E3E3"/>
              <w:right w:val="single" w:sz="6" w:space="0" w:color="E3E3E3"/>
            </w:tcBorders>
            <w:shd w:val="clear" w:color="auto" w:fill="E8E8E8" w:themeFill="background2"/>
            <w:vAlign w:val="center"/>
          </w:tcPr>
          <w:p w14:paraId="79FAC3C8" w14:textId="77777777" w:rsidR="00A70719" w:rsidRDefault="004E12F5" w:rsidP="00216D77">
            <w:pPr>
              <w:spacing w:after="0" w:line="24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ACI acknowledges similar risks associated with its global operations, including compliance with various international laws and regulations and the impact of geopolitical events.</w:t>
            </w:r>
          </w:p>
        </w:tc>
      </w:tr>
      <w:tr w:rsidR="00A70719" w14:paraId="47F12BE5" w14:textId="77777777" w:rsidTr="00216D77">
        <w:tc>
          <w:tcPr>
            <w:tcW w:w="1740" w:type="dxa"/>
            <w:tcBorders>
              <w:top w:val="single" w:sz="4" w:space="0" w:color="E3E3E3"/>
              <w:left w:val="single" w:sz="6" w:space="0" w:color="E3E3E3"/>
              <w:bottom w:val="single" w:sz="6" w:space="0" w:color="E3E3E3"/>
              <w:right w:val="single" w:sz="4" w:space="0" w:color="E3E3E3"/>
            </w:tcBorders>
            <w:shd w:val="clear" w:color="auto" w:fill="D1D1D1" w:themeFill="background2" w:themeFillShade="E6"/>
            <w:vAlign w:val="center"/>
          </w:tcPr>
          <w:p w14:paraId="3F31DF92" w14:textId="77777777" w:rsidR="00A70719" w:rsidRDefault="004E12F5" w:rsidP="00216D77">
            <w:pPr>
              <w:spacing w:after="0" w:line="240" w:lineRule="auto"/>
              <w:rPr>
                <w:rFonts w:ascii="Times New Roman" w:eastAsia="Times New Roman" w:hAnsi="Times New Roman" w:cs="Times New Roman"/>
                <w:b/>
                <w:sz w:val="25"/>
                <w:szCs w:val="25"/>
              </w:rPr>
            </w:pPr>
            <w:r>
              <w:rPr>
                <w:rFonts w:ascii="Times New Roman" w:eastAsia="Times New Roman" w:hAnsi="Times New Roman" w:cs="Times New Roman"/>
                <w:b/>
                <w:sz w:val="25"/>
                <w:szCs w:val="25"/>
              </w:rPr>
              <w:t>Economic Conditions</w:t>
            </w:r>
          </w:p>
        </w:tc>
        <w:tc>
          <w:tcPr>
            <w:tcW w:w="4379" w:type="dxa"/>
            <w:tcBorders>
              <w:top w:val="single" w:sz="4" w:space="0" w:color="E3E3E3"/>
              <w:left w:val="single" w:sz="6" w:space="0" w:color="E3E3E3"/>
              <w:bottom w:val="single" w:sz="6" w:space="0" w:color="E3E3E3"/>
              <w:right w:val="single" w:sz="4" w:space="0" w:color="E3E3E3"/>
            </w:tcBorders>
            <w:shd w:val="clear" w:color="auto" w:fill="E8E8E8" w:themeFill="background2"/>
            <w:vAlign w:val="center"/>
          </w:tcPr>
          <w:p w14:paraId="775AA91F" w14:textId="77777777" w:rsidR="00A70719" w:rsidRDefault="004E12F5" w:rsidP="00216D77">
            <w:pPr>
              <w:spacing w:after="0" w:line="24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Various macroeconomic conditions, such as recessions or inflation, could reduce consumer spending and merchant activity, negatively impacting their business.</w:t>
            </w:r>
          </w:p>
        </w:tc>
        <w:tc>
          <w:tcPr>
            <w:tcW w:w="4261" w:type="dxa"/>
            <w:tcBorders>
              <w:top w:val="single" w:sz="4" w:space="0" w:color="E3E3E3"/>
              <w:left w:val="single" w:sz="6" w:space="0" w:color="E3E3E3"/>
              <w:bottom w:val="single" w:sz="6" w:space="0" w:color="E3E3E3"/>
              <w:right w:val="single" w:sz="6" w:space="0" w:color="E3E3E3"/>
            </w:tcBorders>
            <w:shd w:val="clear" w:color="auto" w:fill="E8E8E8" w:themeFill="background2"/>
            <w:vAlign w:val="center"/>
          </w:tcPr>
          <w:p w14:paraId="6C16F63B" w14:textId="77777777" w:rsidR="00A70719" w:rsidRDefault="004E12F5" w:rsidP="00216D77">
            <w:pPr>
              <w:spacing w:after="0" w:line="24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ACI believes economic downturns and unfavorable market conditions could decrease demand for its products and services, affecting its financial performance.</w:t>
            </w:r>
          </w:p>
        </w:tc>
      </w:tr>
      <w:tr w:rsidR="00A70719" w14:paraId="5C54A001" w14:textId="77777777" w:rsidTr="00216D77">
        <w:tc>
          <w:tcPr>
            <w:tcW w:w="1740" w:type="dxa"/>
            <w:tcBorders>
              <w:top w:val="single" w:sz="4" w:space="0" w:color="E3E3E3"/>
              <w:left w:val="single" w:sz="6" w:space="0" w:color="E3E3E3"/>
              <w:bottom w:val="single" w:sz="6" w:space="0" w:color="E3E3E3"/>
              <w:right w:val="single" w:sz="4" w:space="0" w:color="E3E3E3"/>
            </w:tcBorders>
            <w:shd w:val="clear" w:color="auto" w:fill="D1D1D1" w:themeFill="background2" w:themeFillShade="E6"/>
            <w:vAlign w:val="center"/>
          </w:tcPr>
          <w:p w14:paraId="0A2DD0C7" w14:textId="77777777" w:rsidR="00A70719" w:rsidRDefault="004E12F5" w:rsidP="00216D77">
            <w:pPr>
              <w:spacing w:after="0" w:line="240" w:lineRule="auto"/>
              <w:rPr>
                <w:rFonts w:ascii="Times New Roman" w:eastAsia="Times New Roman" w:hAnsi="Times New Roman" w:cs="Times New Roman"/>
                <w:b/>
                <w:sz w:val="25"/>
                <w:szCs w:val="25"/>
              </w:rPr>
            </w:pPr>
            <w:r>
              <w:rPr>
                <w:rFonts w:ascii="Times New Roman" w:eastAsia="Times New Roman" w:hAnsi="Times New Roman" w:cs="Times New Roman"/>
                <w:b/>
                <w:sz w:val="25"/>
                <w:szCs w:val="25"/>
              </w:rPr>
              <w:t>Credit Risk</w:t>
            </w:r>
          </w:p>
        </w:tc>
        <w:tc>
          <w:tcPr>
            <w:tcW w:w="4379" w:type="dxa"/>
            <w:tcBorders>
              <w:top w:val="single" w:sz="4" w:space="0" w:color="E3E3E3"/>
              <w:left w:val="single" w:sz="6" w:space="0" w:color="E3E3E3"/>
              <w:bottom w:val="single" w:sz="6" w:space="0" w:color="E3E3E3"/>
              <w:right w:val="single" w:sz="4" w:space="0" w:color="E3E3E3"/>
            </w:tcBorders>
            <w:shd w:val="clear" w:color="auto" w:fill="E8E8E8" w:themeFill="background2"/>
            <w:vAlign w:val="center"/>
          </w:tcPr>
          <w:p w14:paraId="1AAF1AF1" w14:textId="50DBD355" w:rsidR="00A70719" w:rsidRDefault="004E12F5" w:rsidP="00216D77">
            <w:pPr>
              <w:spacing w:after="0" w:line="24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Increased credit losses on their various credit offerings and the impact of economic conditions can also affect their creditworthiness and pose a risk.</w:t>
            </w:r>
          </w:p>
        </w:tc>
        <w:tc>
          <w:tcPr>
            <w:tcW w:w="4261" w:type="dxa"/>
            <w:tcBorders>
              <w:top w:val="single" w:sz="4" w:space="0" w:color="E3E3E3"/>
              <w:left w:val="single" w:sz="6" w:space="0" w:color="E3E3E3"/>
              <w:bottom w:val="single" w:sz="6" w:space="0" w:color="E3E3E3"/>
              <w:right w:val="single" w:sz="6" w:space="0" w:color="E3E3E3"/>
            </w:tcBorders>
            <w:shd w:val="clear" w:color="auto" w:fill="E8E8E8" w:themeFill="background2"/>
            <w:vAlign w:val="center"/>
          </w:tcPr>
          <w:p w14:paraId="4AA94F50" w14:textId="77777777" w:rsidR="00A70719" w:rsidRDefault="004E12F5" w:rsidP="00216D77">
            <w:pPr>
              <w:spacing w:after="0" w:line="24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It also acknowledges the financial risks associated with its business operations, including customer credit risk.</w:t>
            </w:r>
          </w:p>
        </w:tc>
      </w:tr>
      <w:tr w:rsidR="00A70719" w14:paraId="008D0325" w14:textId="77777777" w:rsidTr="00216D77">
        <w:tc>
          <w:tcPr>
            <w:tcW w:w="1740" w:type="dxa"/>
            <w:tcBorders>
              <w:top w:val="single" w:sz="4" w:space="0" w:color="E3E3E3"/>
              <w:left w:val="single" w:sz="6" w:space="0" w:color="E3E3E3"/>
              <w:bottom w:val="single" w:sz="6" w:space="0" w:color="E3E3E3"/>
              <w:right w:val="single" w:sz="4" w:space="0" w:color="E3E3E3"/>
            </w:tcBorders>
            <w:shd w:val="clear" w:color="auto" w:fill="D1D1D1" w:themeFill="background2" w:themeFillShade="E6"/>
            <w:vAlign w:val="center"/>
          </w:tcPr>
          <w:p w14:paraId="358B2E71" w14:textId="77777777" w:rsidR="00A70719" w:rsidRDefault="004E12F5" w:rsidP="00216D77">
            <w:pPr>
              <w:spacing w:after="0" w:line="240" w:lineRule="auto"/>
              <w:rPr>
                <w:rFonts w:ascii="Times New Roman" w:eastAsia="Times New Roman" w:hAnsi="Times New Roman" w:cs="Times New Roman"/>
                <w:b/>
                <w:sz w:val="25"/>
                <w:szCs w:val="25"/>
              </w:rPr>
            </w:pPr>
            <w:r>
              <w:rPr>
                <w:rFonts w:ascii="Times New Roman" w:eastAsia="Times New Roman" w:hAnsi="Times New Roman" w:cs="Times New Roman"/>
                <w:b/>
                <w:sz w:val="25"/>
                <w:szCs w:val="25"/>
              </w:rPr>
              <w:t>Technology and Innovation</w:t>
            </w:r>
          </w:p>
        </w:tc>
        <w:tc>
          <w:tcPr>
            <w:tcW w:w="4379" w:type="dxa"/>
            <w:tcBorders>
              <w:top w:val="single" w:sz="4" w:space="0" w:color="E3E3E3"/>
              <w:left w:val="single" w:sz="6" w:space="0" w:color="E3E3E3"/>
              <w:bottom w:val="single" w:sz="6" w:space="0" w:color="E3E3E3"/>
              <w:right w:val="single" w:sz="4" w:space="0" w:color="E3E3E3"/>
            </w:tcBorders>
            <w:shd w:val="clear" w:color="auto" w:fill="E8E8E8" w:themeFill="background2"/>
            <w:vAlign w:val="center"/>
          </w:tcPr>
          <w:p w14:paraId="378163FE" w14:textId="77777777" w:rsidR="00A70719" w:rsidRDefault="004E12F5" w:rsidP="00216D77">
            <w:pPr>
              <w:spacing w:after="0" w:line="24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The rapid pace of technological change and innovation in the payments industry, which requires continuous investment in </w:t>
            </w:r>
            <w:r>
              <w:rPr>
                <w:rFonts w:ascii="Times New Roman" w:eastAsia="Times New Roman" w:hAnsi="Times New Roman" w:cs="Times New Roman"/>
                <w:sz w:val="25"/>
                <w:szCs w:val="25"/>
              </w:rPr>
              <w:lastRenderedPageBreak/>
              <w:t>new products and services to remain competitive, can impact them if they fail to innovate.</w:t>
            </w:r>
          </w:p>
        </w:tc>
        <w:tc>
          <w:tcPr>
            <w:tcW w:w="4261" w:type="dxa"/>
            <w:tcBorders>
              <w:top w:val="single" w:sz="4" w:space="0" w:color="E3E3E3"/>
              <w:left w:val="single" w:sz="6" w:space="0" w:color="E3E3E3"/>
              <w:bottom w:val="single" w:sz="6" w:space="0" w:color="E3E3E3"/>
              <w:right w:val="single" w:sz="6" w:space="0" w:color="E3E3E3"/>
            </w:tcBorders>
            <w:shd w:val="clear" w:color="auto" w:fill="E8E8E8" w:themeFill="background2"/>
            <w:vAlign w:val="center"/>
          </w:tcPr>
          <w:p w14:paraId="79E5D0ED" w14:textId="77777777" w:rsidR="00A70719" w:rsidRDefault="004E12F5" w:rsidP="00216D77">
            <w:pPr>
              <w:spacing w:after="0" w:line="24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lastRenderedPageBreak/>
              <w:t xml:space="preserve">ACI points out the necessity of keeping pace with technological advancements </w:t>
            </w:r>
            <w:r>
              <w:rPr>
                <w:rFonts w:ascii="Times New Roman" w:eastAsia="Times New Roman" w:hAnsi="Times New Roman" w:cs="Times New Roman"/>
                <w:sz w:val="25"/>
                <w:szCs w:val="25"/>
              </w:rPr>
              <w:lastRenderedPageBreak/>
              <w:t>and the risk of failing to innovate, which could render its solutions obsolete.</w:t>
            </w:r>
          </w:p>
        </w:tc>
      </w:tr>
      <w:tr w:rsidR="00A70719" w14:paraId="593CA1D4" w14:textId="77777777" w:rsidTr="00216D77">
        <w:tc>
          <w:tcPr>
            <w:tcW w:w="1740" w:type="dxa"/>
            <w:tcBorders>
              <w:top w:val="single" w:sz="4" w:space="0" w:color="E3E3E3"/>
              <w:left w:val="single" w:sz="6" w:space="0" w:color="E3E3E3"/>
              <w:bottom w:val="single" w:sz="6" w:space="0" w:color="E3E3E3"/>
              <w:right w:val="single" w:sz="4" w:space="0" w:color="E3E3E3"/>
            </w:tcBorders>
            <w:shd w:val="clear" w:color="auto" w:fill="D1D1D1" w:themeFill="background2" w:themeFillShade="E6"/>
            <w:vAlign w:val="center"/>
          </w:tcPr>
          <w:p w14:paraId="3CBE5D69" w14:textId="77777777" w:rsidR="00A70719" w:rsidRDefault="004E12F5" w:rsidP="00216D77">
            <w:pPr>
              <w:spacing w:after="0" w:line="240" w:lineRule="auto"/>
              <w:rPr>
                <w:rFonts w:ascii="Times New Roman" w:eastAsia="Times New Roman" w:hAnsi="Times New Roman" w:cs="Times New Roman"/>
                <w:b/>
                <w:sz w:val="25"/>
                <w:szCs w:val="25"/>
              </w:rPr>
            </w:pPr>
            <w:r>
              <w:rPr>
                <w:rFonts w:ascii="Times New Roman" w:eastAsia="Times New Roman" w:hAnsi="Times New Roman" w:cs="Times New Roman"/>
                <w:b/>
                <w:sz w:val="25"/>
                <w:szCs w:val="25"/>
              </w:rPr>
              <w:lastRenderedPageBreak/>
              <w:t>Data Privacy and Protection</w:t>
            </w:r>
          </w:p>
        </w:tc>
        <w:tc>
          <w:tcPr>
            <w:tcW w:w="4379" w:type="dxa"/>
            <w:tcBorders>
              <w:top w:val="single" w:sz="4" w:space="0" w:color="E3E3E3"/>
              <w:left w:val="single" w:sz="6" w:space="0" w:color="E3E3E3"/>
              <w:bottom w:val="single" w:sz="6" w:space="0" w:color="E3E3E3"/>
              <w:right w:val="single" w:sz="4" w:space="0" w:color="E3E3E3"/>
            </w:tcBorders>
            <w:shd w:val="clear" w:color="auto" w:fill="E8E8E8" w:themeFill="background2"/>
            <w:vAlign w:val="center"/>
          </w:tcPr>
          <w:p w14:paraId="6E125D1C" w14:textId="77777777" w:rsidR="00A70719" w:rsidRDefault="004E12F5" w:rsidP="00216D77">
            <w:pPr>
              <w:spacing w:after="0" w:line="24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PayPal emphasizes the importance of protecting customer data and the risks associated with data breaches, which could lead to regulatory penalties and loss of trust.</w:t>
            </w:r>
          </w:p>
        </w:tc>
        <w:tc>
          <w:tcPr>
            <w:tcW w:w="4261" w:type="dxa"/>
            <w:tcBorders>
              <w:top w:val="single" w:sz="4" w:space="0" w:color="E3E3E3"/>
              <w:left w:val="single" w:sz="6" w:space="0" w:color="E3E3E3"/>
              <w:bottom w:val="single" w:sz="6" w:space="0" w:color="E3E3E3"/>
              <w:right w:val="single" w:sz="6" w:space="0" w:color="E3E3E3"/>
            </w:tcBorders>
            <w:shd w:val="clear" w:color="auto" w:fill="E8E8E8" w:themeFill="background2"/>
            <w:vAlign w:val="center"/>
          </w:tcPr>
          <w:p w14:paraId="518AE9EA" w14:textId="77777777" w:rsidR="00A70719" w:rsidRDefault="004E12F5" w:rsidP="00216D77">
            <w:pPr>
              <w:spacing w:after="0" w:line="24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ACI also mentions data Privacy and security as critical risks, noting the potential for significant financial and reputational damage from data breaches.</w:t>
            </w:r>
          </w:p>
        </w:tc>
      </w:tr>
      <w:tr w:rsidR="00A70719" w14:paraId="4F0FF66B" w14:textId="77777777" w:rsidTr="00216D77">
        <w:tc>
          <w:tcPr>
            <w:tcW w:w="1740" w:type="dxa"/>
            <w:tcBorders>
              <w:top w:val="single" w:sz="4" w:space="0" w:color="E3E3E3"/>
              <w:left w:val="single" w:sz="6" w:space="0" w:color="E3E3E3"/>
              <w:bottom w:val="single" w:sz="6" w:space="0" w:color="E3E3E3"/>
              <w:right w:val="single" w:sz="4" w:space="0" w:color="E3E3E3"/>
            </w:tcBorders>
            <w:shd w:val="clear" w:color="auto" w:fill="D1D1D1" w:themeFill="background2" w:themeFillShade="E6"/>
            <w:vAlign w:val="center"/>
          </w:tcPr>
          <w:p w14:paraId="06192A78" w14:textId="77777777" w:rsidR="00A70719" w:rsidRDefault="004E12F5" w:rsidP="00216D77">
            <w:pPr>
              <w:spacing w:after="0" w:line="240" w:lineRule="auto"/>
              <w:rPr>
                <w:rFonts w:ascii="Times New Roman" w:eastAsia="Times New Roman" w:hAnsi="Times New Roman" w:cs="Times New Roman"/>
                <w:b/>
                <w:sz w:val="25"/>
                <w:szCs w:val="25"/>
              </w:rPr>
            </w:pPr>
            <w:r>
              <w:rPr>
                <w:rFonts w:ascii="Times New Roman" w:eastAsia="Times New Roman" w:hAnsi="Times New Roman" w:cs="Times New Roman"/>
                <w:b/>
                <w:sz w:val="25"/>
                <w:szCs w:val="25"/>
              </w:rPr>
              <w:t>Third-Party Dependencies</w:t>
            </w:r>
          </w:p>
        </w:tc>
        <w:tc>
          <w:tcPr>
            <w:tcW w:w="4379" w:type="dxa"/>
            <w:tcBorders>
              <w:top w:val="single" w:sz="4" w:space="0" w:color="E3E3E3"/>
              <w:left w:val="single" w:sz="6" w:space="0" w:color="E3E3E3"/>
              <w:bottom w:val="single" w:sz="6" w:space="0" w:color="E3E3E3"/>
              <w:right w:val="single" w:sz="4" w:space="0" w:color="E3E3E3"/>
            </w:tcBorders>
            <w:shd w:val="clear" w:color="auto" w:fill="E8E8E8" w:themeFill="background2"/>
            <w:vAlign w:val="center"/>
          </w:tcPr>
          <w:p w14:paraId="0E7EF904" w14:textId="77777777" w:rsidR="00A70719" w:rsidRDefault="004E12F5" w:rsidP="00216D77">
            <w:pPr>
              <w:spacing w:after="0" w:line="24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PayPal mentions its reliance on third-party service providers and the risks associated with these relationships, including potential disruptions and cybersecurity incidents.</w:t>
            </w:r>
          </w:p>
        </w:tc>
        <w:tc>
          <w:tcPr>
            <w:tcW w:w="4261" w:type="dxa"/>
            <w:tcBorders>
              <w:top w:val="single" w:sz="4" w:space="0" w:color="E3E3E3"/>
              <w:left w:val="single" w:sz="6" w:space="0" w:color="E3E3E3"/>
              <w:bottom w:val="single" w:sz="6" w:space="0" w:color="E3E3E3"/>
              <w:right w:val="single" w:sz="6" w:space="0" w:color="E3E3E3"/>
            </w:tcBorders>
            <w:shd w:val="clear" w:color="auto" w:fill="E8E8E8" w:themeFill="background2"/>
            <w:vAlign w:val="center"/>
          </w:tcPr>
          <w:p w14:paraId="3823C381" w14:textId="77777777" w:rsidR="00A70719" w:rsidRDefault="004E12F5" w:rsidP="00216D77">
            <w:pPr>
              <w:spacing w:after="0" w:line="24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Its dependence on third-party vendors and partners is also a </w:t>
            </w:r>
            <w:r>
              <w:rPr>
                <w:rFonts w:ascii="Times New Roman" w:eastAsia="Times New Roman" w:hAnsi="Times New Roman" w:cs="Times New Roman"/>
                <w:sz w:val="25"/>
                <w:szCs w:val="25"/>
              </w:rPr>
              <w:t>concern for them, highlighting the risks related to operational failures and non-compliance with contractual obligations.</w:t>
            </w:r>
          </w:p>
        </w:tc>
      </w:tr>
      <w:tr w:rsidR="00A70719" w14:paraId="4708C360" w14:textId="77777777" w:rsidTr="00216D77">
        <w:tc>
          <w:tcPr>
            <w:tcW w:w="1740" w:type="dxa"/>
            <w:tcBorders>
              <w:top w:val="single" w:sz="4" w:space="0" w:color="E3E3E3"/>
              <w:left w:val="single" w:sz="6" w:space="0" w:color="E3E3E3"/>
              <w:bottom w:val="single" w:sz="6" w:space="0" w:color="E3E3E3"/>
              <w:right w:val="single" w:sz="4" w:space="0" w:color="E3E3E3"/>
            </w:tcBorders>
            <w:shd w:val="clear" w:color="auto" w:fill="D1D1D1" w:themeFill="background2" w:themeFillShade="E6"/>
            <w:vAlign w:val="center"/>
          </w:tcPr>
          <w:p w14:paraId="326D3672" w14:textId="77777777" w:rsidR="00A70719" w:rsidRDefault="004E12F5" w:rsidP="00216D77">
            <w:pPr>
              <w:spacing w:after="0" w:line="240" w:lineRule="auto"/>
              <w:rPr>
                <w:rFonts w:ascii="Times New Roman" w:eastAsia="Times New Roman" w:hAnsi="Times New Roman" w:cs="Times New Roman"/>
                <w:b/>
                <w:sz w:val="25"/>
                <w:szCs w:val="25"/>
              </w:rPr>
            </w:pPr>
            <w:r>
              <w:rPr>
                <w:rFonts w:ascii="Times New Roman" w:eastAsia="Times New Roman" w:hAnsi="Times New Roman" w:cs="Times New Roman"/>
                <w:b/>
                <w:sz w:val="25"/>
                <w:szCs w:val="25"/>
              </w:rPr>
              <w:t>Intellectual Property</w:t>
            </w:r>
          </w:p>
        </w:tc>
        <w:tc>
          <w:tcPr>
            <w:tcW w:w="4379" w:type="dxa"/>
            <w:tcBorders>
              <w:top w:val="single" w:sz="4" w:space="0" w:color="E3E3E3"/>
              <w:left w:val="single" w:sz="6" w:space="0" w:color="E3E3E3"/>
              <w:bottom w:val="single" w:sz="6" w:space="0" w:color="E3E3E3"/>
              <w:right w:val="single" w:sz="4" w:space="0" w:color="E3E3E3"/>
            </w:tcBorders>
            <w:shd w:val="clear" w:color="auto" w:fill="E8E8E8" w:themeFill="background2"/>
            <w:vAlign w:val="center"/>
          </w:tcPr>
          <w:p w14:paraId="22CE8982" w14:textId="1C47473C" w:rsidR="00A70719" w:rsidRDefault="004E12F5" w:rsidP="00216D77">
            <w:pPr>
              <w:spacing w:after="0" w:line="24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The risks related to intellectual property, including the potential for infringement claims and the importance of protecting its proprietary technologies, are also a concern for them.</w:t>
            </w:r>
          </w:p>
        </w:tc>
        <w:tc>
          <w:tcPr>
            <w:tcW w:w="4261" w:type="dxa"/>
            <w:tcBorders>
              <w:top w:val="single" w:sz="4" w:space="0" w:color="E3E3E3"/>
              <w:left w:val="single" w:sz="6" w:space="0" w:color="E3E3E3"/>
              <w:bottom w:val="single" w:sz="6" w:space="0" w:color="E3E3E3"/>
              <w:right w:val="single" w:sz="6" w:space="0" w:color="E3E3E3"/>
            </w:tcBorders>
            <w:shd w:val="clear" w:color="auto" w:fill="E8E8E8" w:themeFill="background2"/>
            <w:vAlign w:val="center"/>
          </w:tcPr>
          <w:p w14:paraId="687E0EC0" w14:textId="77777777" w:rsidR="00A70719" w:rsidRDefault="004E12F5" w:rsidP="00216D77">
            <w:pPr>
              <w:spacing w:after="0" w:line="24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ACI also addresses intellectual property risks, emphasizing the need to safeguard its technology assets and the potential impact of litigation on its business.</w:t>
            </w:r>
          </w:p>
        </w:tc>
      </w:tr>
    </w:tbl>
    <w:p w14:paraId="363C1BBB" w14:textId="77777777" w:rsidR="00A70719" w:rsidRDefault="00A70719">
      <w:pPr>
        <w:rPr>
          <w:rFonts w:ascii="Times New Roman" w:eastAsia="Times New Roman" w:hAnsi="Times New Roman" w:cs="Times New Roman"/>
        </w:rPr>
      </w:pPr>
    </w:p>
    <w:p w14:paraId="3B00B751" w14:textId="77777777" w:rsidR="00A70719" w:rsidRDefault="004E12F5" w:rsidP="002C4EAE">
      <w:pPr>
        <w:pStyle w:val="Heading1"/>
      </w:pPr>
      <w:r>
        <w:t>Unaddressed Risk Factors by ACI</w:t>
      </w:r>
    </w:p>
    <w:p w14:paraId="258564DC" w14:textId="77777777" w:rsidR="00A70719" w:rsidRPr="004E12F5" w:rsidRDefault="004E12F5" w:rsidP="004E12F5">
      <w:pPr>
        <w:rPr>
          <w:rFonts w:ascii="Times New Roman" w:eastAsia="Times New Roman" w:hAnsi="Times New Roman" w:cs="Times New Roman"/>
          <w:b/>
          <w:sz w:val="24"/>
          <w:szCs w:val="24"/>
          <w:shd w:val="clear" w:color="auto" w:fill="FCFCF9"/>
        </w:rPr>
      </w:pPr>
      <w:r w:rsidRPr="004E12F5">
        <w:rPr>
          <w:sz w:val="24"/>
          <w:szCs w:val="24"/>
        </w:rPr>
        <w:t xml:space="preserve">ACI </w:t>
      </w:r>
      <w:proofErr w:type="spellStart"/>
      <w:r w:rsidRPr="004E12F5">
        <w:rPr>
          <w:sz w:val="24"/>
          <w:szCs w:val="24"/>
        </w:rPr>
        <w:t>Worldwide's</w:t>
      </w:r>
      <w:proofErr w:type="spellEnd"/>
      <w:r w:rsidRPr="004E12F5">
        <w:rPr>
          <w:sz w:val="24"/>
          <w:szCs w:val="24"/>
        </w:rPr>
        <w:t xml:space="preserve"> risk assessment overlooked several key risk factors that PayPal has identified in its reporting. This discrepancy in risk identification between PayPal and ACI suggests a gap in ACI's risk recognition framework, which may </w:t>
      </w:r>
      <w:r w:rsidRPr="004E12F5">
        <w:rPr>
          <w:sz w:val="24"/>
          <w:szCs w:val="24"/>
        </w:rPr>
        <w:t>impact its ability to effectively anticipate and mitigate emerging threats in its operational landscape.</w:t>
      </w:r>
    </w:p>
    <w:p w14:paraId="097B1BE0" w14:textId="77777777" w:rsidR="00A70719" w:rsidRDefault="00A70719">
      <w:pPr>
        <w:spacing w:after="0" w:line="240" w:lineRule="auto"/>
        <w:rPr>
          <w:rFonts w:ascii="Times New Roman" w:eastAsia="Times New Roman" w:hAnsi="Times New Roman" w:cs="Times New Roman"/>
          <w:sz w:val="24"/>
          <w:szCs w:val="24"/>
        </w:rPr>
      </w:pPr>
    </w:p>
    <w:tbl>
      <w:tblPr>
        <w:tblStyle w:val="Table2"/>
        <w:tblW w:w="10380"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2458"/>
        <w:gridCol w:w="4987"/>
        <w:gridCol w:w="2935"/>
      </w:tblGrid>
      <w:tr w:rsidR="00A70719" w14:paraId="61008B30" w14:textId="77777777" w:rsidTr="00216D77">
        <w:trPr>
          <w:tblHeader/>
        </w:trPr>
        <w:tc>
          <w:tcPr>
            <w:tcW w:w="2458" w:type="dxa"/>
            <w:tcBorders>
              <w:top w:val="single" w:sz="6" w:space="0" w:color="E3E3E3"/>
              <w:left w:val="single" w:sz="6" w:space="0" w:color="E3E3E3"/>
              <w:bottom w:val="single" w:sz="6" w:space="0" w:color="E3E3E3"/>
              <w:right w:val="single" w:sz="4" w:space="0" w:color="E3E3E3"/>
            </w:tcBorders>
            <w:shd w:val="clear" w:color="auto" w:fill="7F7F7F" w:themeFill="text1" w:themeFillTint="80"/>
            <w:vAlign w:val="center"/>
          </w:tcPr>
          <w:p w14:paraId="52E90C95" w14:textId="77777777" w:rsidR="00A70719" w:rsidRPr="00216D77" w:rsidRDefault="004E12F5" w:rsidP="00216D77">
            <w:pPr>
              <w:spacing w:after="0" w:line="240" w:lineRule="auto"/>
              <w:rPr>
                <w:rFonts w:ascii="Times New Roman" w:eastAsia="Times New Roman" w:hAnsi="Times New Roman" w:cs="Times New Roman"/>
                <w:b/>
                <w:color w:val="E8E8E8" w:themeColor="background2"/>
                <w:sz w:val="21"/>
                <w:szCs w:val="21"/>
              </w:rPr>
            </w:pPr>
            <w:r w:rsidRPr="00216D77">
              <w:rPr>
                <w:rFonts w:ascii="Times New Roman" w:eastAsia="Times New Roman" w:hAnsi="Times New Roman" w:cs="Times New Roman"/>
                <w:b/>
                <w:color w:val="E8E8E8" w:themeColor="background2"/>
                <w:sz w:val="21"/>
                <w:szCs w:val="21"/>
              </w:rPr>
              <w:t>Risk Factor</w:t>
            </w:r>
          </w:p>
        </w:tc>
        <w:tc>
          <w:tcPr>
            <w:tcW w:w="4987" w:type="dxa"/>
            <w:tcBorders>
              <w:top w:val="single" w:sz="6" w:space="0" w:color="E3E3E3"/>
              <w:left w:val="single" w:sz="6" w:space="0" w:color="E3E3E3"/>
              <w:bottom w:val="single" w:sz="6" w:space="0" w:color="E3E3E3"/>
              <w:right w:val="single" w:sz="4" w:space="0" w:color="E3E3E3"/>
            </w:tcBorders>
            <w:shd w:val="clear" w:color="auto" w:fill="7F7F7F" w:themeFill="text1" w:themeFillTint="80"/>
            <w:vAlign w:val="center"/>
          </w:tcPr>
          <w:p w14:paraId="51949069" w14:textId="77777777" w:rsidR="00A70719" w:rsidRPr="00216D77" w:rsidRDefault="004E12F5" w:rsidP="00216D77">
            <w:pPr>
              <w:spacing w:after="0" w:line="240" w:lineRule="auto"/>
              <w:rPr>
                <w:rFonts w:ascii="Times New Roman" w:eastAsia="Times New Roman" w:hAnsi="Times New Roman" w:cs="Times New Roman"/>
                <w:b/>
                <w:color w:val="E8E8E8" w:themeColor="background2"/>
                <w:sz w:val="21"/>
                <w:szCs w:val="21"/>
              </w:rPr>
            </w:pPr>
            <w:r w:rsidRPr="00216D77">
              <w:rPr>
                <w:rFonts w:ascii="Times New Roman" w:eastAsia="Times New Roman" w:hAnsi="Times New Roman" w:cs="Times New Roman"/>
                <w:b/>
                <w:color w:val="E8E8E8" w:themeColor="background2"/>
                <w:sz w:val="21"/>
                <w:szCs w:val="21"/>
              </w:rPr>
              <w:t>PayPal</w:t>
            </w:r>
          </w:p>
        </w:tc>
        <w:tc>
          <w:tcPr>
            <w:tcW w:w="2935" w:type="dxa"/>
            <w:tcBorders>
              <w:top w:val="single" w:sz="6" w:space="0" w:color="E3E3E3"/>
              <w:left w:val="single" w:sz="6" w:space="0" w:color="E3E3E3"/>
              <w:bottom w:val="single" w:sz="6" w:space="0" w:color="E3E3E3"/>
              <w:right w:val="single" w:sz="6" w:space="0" w:color="E3E3E3"/>
            </w:tcBorders>
            <w:shd w:val="clear" w:color="auto" w:fill="7F7F7F" w:themeFill="text1" w:themeFillTint="80"/>
            <w:vAlign w:val="center"/>
          </w:tcPr>
          <w:p w14:paraId="4B74F5A5" w14:textId="38DEA7E5" w:rsidR="00A70719" w:rsidRPr="00216D77" w:rsidRDefault="004E12F5" w:rsidP="00216D77">
            <w:pPr>
              <w:spacing w:after="0" w:line="240" w:lineRule="auto"/>
              <w:rPr>
                <w:rFonts w:ascii="Times New Roman" w:eastAsia="Times New Roman" w:hAnsi="Times New Roman" w:cs="Times New Roman"/>
                <w:b/>
                <w:color w:val="E8E8E8" w:themeColor="background2"/>
                <w:sz w:val="21"/>
                <w:szCs w:val="21"/>
              </w:rPr>
            </w:pPr>
            <w:r w:rsidRPr="00216D77">
              <w:rPr>
                <w:rFonts w:ascii="Times New Roman" w:eastAsia="Times New Roman" w:hAnsi="Times New Roman" w:cs="Times New Roman"/>
                <w:b/>
                <w:color w:val="E8E8E8" w:themeColor="background2"/>
                <w:sz w:val="21"/>
                <w:szCs w:val="21"/>
              </w:rPr>
              <w:t>ACI Worldwide</w:t>
            </w:r>
          </w:p>
        </w:tc>
      </w:tr>
      <w:tr w:rsidR="00A70719" w14:paraId="7A416E9D" w14:textId="77777777" w:rsidTr="00216D77">
        <w:tc>
          <w:tcPr>
            <w:tcW w:w="2458" w:type="dxa"/>
            <w:tcBorders>
              <w:top w:val="single" w:sz="4" w:space="0" w:color="E3E3E3"/>
              <w:left w:val="single" w:sz="6" w:space="0" w:color="E3E3E3"/>
              <w:bottom w:val="single" w:sz="6" w:space="0" w:color="E3E3E3"/>
              <w:right w:val="single" w:sz="4" w:space="0" w:color="E3E3E3"/>
            </w:tcBorders>
            <w:shd w:val="clear" w:color="auto" w:fill="D1D1D1" w:themeFill="background2" w:themeFillShade="E6"/>
            <w:vAlign w:val="center"/>
          </w:tcPr>
          <w:p w14:paraId="6CE89EE1" w14:textId="77777777" w:rsidR="00A70719" w:rsidRDefault="004E12F5" w:rsidP="00216D77">
            <w:pPr>
              <w:spacing w:after="0" w:line="240"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Crypto Currencies</w:t>
            </w:r>
          </w:p>
        </w:tc>
        <w:tc>
          <w:tcPr>
            <w:tcW w:w="4987" w:type="dxa"/>
            <w:tcBorders>
              <w:top w:val="single" w:sz="4" w:space="0" w:color="E3E3E3"/>
              <w:left w:val="single" w:sz="6" w:space="0" w:color="E3E3E3"/>
              <w:bottom w:val="single" w:sz="6" w:space="0" w:color="E3E3E3"/>
              <w:right w:val="single" w:sz="4" w:space="0" w:color="E3E3E3"/>
            </w:tcBorders>
            <w:shd w:val="clear" w:color="auto" w:fill="E8E8E8" w:themeFill="background2"/>
            <w:vAlign w:val="center"/>
          </w:tcPr>
          <w:p w14:paraId="332413E7" w14:textId="77777777" w:rsidR="00A70719" w:rsidRDefault="004E12F5" w:rsidP="00216D77">
            <w:pPr>
              <w:spacing w:after="0" w:line="24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Discusses the potential impact of regulation changes or market dynamics regarding virtual </w:t>
            </w:r>
            <w:r>
              <w:rPr>
                <w:rFonts w:ascii="Times New Roman" w:eastAsia="Times New Roman" w:hAnsi="Times New Roman" w:cs="Times New Roman"/>
                <w:color w:val="0D0D0D"/>
                <w:sz w:val="24"/>
                <w:szCs w:val="24"/>
              </w:rPr>
              <w:t>currencies on its operations.</w:t>
            </w:r>
          </w:p>
        </w:tc>
        <w:tc>
          <w:tcPr>
            <w:tcW w:w="2935" w:type="dxa"/>
            <w:tcBorders>
              <w:top w:val="single" w:sz="4" w:space="0" w:color="E3E3E3"/>
              <w:left w:val="single" w:sz="6" w:space="0" w:color="E3E3E3"/>
              <w:bottom w:val="single" w:sz="6" w:space="0" w:color="E3E3E3"/>
              <w:right w:val="single" w:sz="6" w:space="0" w:color="E3E3E3"/>
            </w:tcBorders>
            <w:shd w:val="clear" w:color="auto" w:fill="E8E8E8" w:themeFill="background2"/>
            <w:vAlign w:val="center"/>
          </w:tcPr>
          <w:p w14:paraId="0A1C49A1" w14:textId="77777777" w:rsidR="00A70719" w:rsidRDefault="004E12F5" w:rsidP="00216D77">
            <w:pPr>
              <w:spacing w:after="0" w:line="24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They do not address cryptocurrencies as a concern.</w:t>
            </w:r>
          </w:p>
        </w:tc>
      </w:tr>
      <w:tr w:rsidR="00A70719" w14:paraId="66B2DCE1" w14:textId="77777777" w:rsidTr="00216D77">
        <w:tc>
          <w:tcPr>
            <w:tcW w:w="2458" w:type="dxa"/>
            <w:tcBorders>
              <w:top w:val="single" w:sz="4" w:space="0" w:color="E3E3E3"/>
              <w:left w:val="single" w:sz="6" w:space="0" w:color="E3E3E3"/>
              <w:bottom w:val="single" w:sz="6" w:space="0" w:color="E3E3E3"/>
              <w:right w:val="single" w:sz="4" w:space="0" w:color="E3E3E3"/>
            </w:tcBorders>
            <w:shd w:val="clear" w:color="auto" w:fill="D1D1D1" w:themeFill="background2" w:themeFillShade="E6"/>
            <w:vAlign w:val="center"/>
          </w:tcPr>
          <w:p w14:paraId="3B3D8807" w14:textId="77777777" w:rsidR="00A70719" w:rsidRDefault="004E12F5" w:rsidP="00216D77">
            <w:pPr>
              <w:spacing w:after="0" w:line="240"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Identity Theft and Account Management</w:t>
            </w:r>
          </w:p>
        </w:tc>
        <w:tc>
          <w:tcPr>
            <w:tcW w:w="4987" w:type="dxa"/>
            <w:tcBorders>
              <w:top w:val="single" w:sz="4" w:space="0" w:color="E3E3E3"/>
              <w:left w:val="single" w:sz="6" w:space="0" w:color="E3E3E3"/>
              <w:bottom w:val="single" w:sz="6" w:space="0" w:color="E3E3E3"/>
              <w:right w:val="single" w:sz="4" w:space="0" w:color="E3E3E3"/>
            </w:tcBorders>
            <w:shd w:val="clear" w:color="auto" w:fill="E8E8E8" w:themeFill="background2"/>
            <w:vAlign w:val="center"/>
          </w:tcPr>
          <w:p w14:paraId="42984C49" w14:textId="77777777" w:rsidR="00A70719" w:rsidRDefault="004E12F5" w:rsidP="00216D77">
            <w:pPr>
              <w:spacing w:after="0" w:line="24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The repercussions of identity theft and the importance of adhering to account management guidelines under regulatory risks could </w:t>
            </w:r>
            <w:r>
              <w:rPr>
                <w:rFonts w:ascii="Times New Roman" w:eastAsia="Times New Roman" w:hAnsi="Times New Roman" w:cs="Times New Roman"/>
                <w:color w:val="0D0D0D"/>
                <w:sz w:val="24"/>
                <w:szCs w:val="24"/>
              </w:rPr>
              <w:t>significantly influence its operations.</w:t>
            </w:r>
          </w:p>
        </w:tc>
        <w:tc>
          <w:tcPr>
            <w:tcW w:w="2935" w:type="dxa"/>
            <w:tcBorders>
              <w:top w:val="single" w:sz="4" w:space="0" w:color="E3E3E3"/>
              <w:left w:val="single" w:sz="6" w:space="0" w:color="E3E3E3"/>
              <w:bottom w:val="single" w:sz="6" w:space="0" w:color="E3E3E3"/>
              <w:right w:val="single" w:sz="6" w:space="0" w:color="E3E3E3"/>
            </w:tcBorders>
            <w:shd w:val="clear" w:color="auto" w:fill="E8E8E8" w:themeFill="background2"/>
            <w:vAlign w:val="center"/>
          </w:tcPr>
          <w:p w14:paraId="67B35AE4" w14:textId="77777777" w:rsidR="00A70719" w:rsidRDefault="004E12F5" w:rsidP="00216D77">
            <w:pPr>
              <w:spacing w:after="0" w:line="24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Does not cover identity theft and account management as concerns.</w:t>
            </w:r>
          </w:p>
        </w:tc>
      </w:tr>
      <w:tr w:rsidR="00A70719" w14:paraId="470A2B5D" w14:textId="77777777" w:rsidTr="00216D77">
        <w:tc>
          <w:tcPr>
            <w:tcW w:w="2458" w:type="dxa"/>
            <w:tcBorders>
              <w:top w:val="single" w:sz="4" w:space="0" w:color="E3E3E3"/>
              <w:left w:val="single" w:sz="6" w:space="0" w:color="E3E3E3"/>
              <w:bottom w:val="single" w:sz="6" w:space="0" w:color="E3E3E3"/>
              <w:right w:val="single" w:sz="4" w:space="0" w:color="E3E3E3"/>
            </w:tcBorders>
            <w:shd w:val="clear" w:color="auto" w:fill="D1D1D1" w:themeFill="background2" w:themeFillShade="E6"/>
            <w:vAlign w:val="center"/>
          </w:tcPr>
          <w:p w14:paraId="76D08DD5" w14:textId="77777777" w:rsidR="00A70719" w:rsidRDefault="004E12F5" w:rsidP="00216D77">
            <w:pPr>
              <w:spacing w:after="0" w:line="240"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ESG Performance and Reporting</w:t>
            </w:r>
          </w:p>
        </w:tc>
        <w:tc>
          <w:tcPr>
            <w:tcW w:w="4987" w:type="dxa"/>
            <w:tcBorders>
              <w:top w:val="single" w:sz="4" w:space="0" w:color="E3E3E3"/>
              <w:left w:val="single" w:sz="6" w:space="0" w:color="E3E3E3"/>
              <w:bottom w:val="single" w:sz="6" w:space="0" w:color="E3E3E3"/>
              <w:right w:val="single" w:sz="4" w:space="0" w:color="E3E3E3"/>
            </w:tcBorders>
            <w:shd w:val="clear" w:color="auto" w:fill="E8E8E8" w:themeFill="background2"/>
            <w:vAlign w:val="center"/>
          </w:tcPr>
          <w:p w14:paraId="39DE2C60" w14:textId="77777777" w:rsidR="00A70719" w:rsidRDefault="004E12F5" w:rsidP="00216D77">
            <w:pPr>
              <w:spacing w:after="0" w:line="240" w:lineRule="auto"/>
              <w:rPr>
                <w:rFonts w:ascii="Times New Roman" w:eastAsia="Times New Roman" w:hAnsi="Times New Roman" w:cs="Times New Roman"/>
                <w:color w:val="0D0D0D"/>
                <w:sz w:val="24"/>
                <w:szCs w:val="24"/>
              </w:rPr>
            </w:pPr>
            <w:proofErr w:type="spellStart"/>
            <w:r>
              <w:rPr>
                <w:rFonts w:ascii="Times New Roman" w:eastAsia="Times New Roman" w:hAnsi="Times New Roman" w:cs="Times New Roman"/>
                <w:color w:val="0D0D0D"/>
                <w:sz w:val="24"/>
                <w:szCs w:val="24"/>
              </w:rPr>
              <w:t>Paypal</w:t>
            </w:r>
            <w:proofErr w:type="spellEnd"/>
            <w:r>
              <w:rPr>
                <w:rFonts w:ascii="Times New Roman" w:eastAsia="Times New Roman" w:hAnsi="Times New Roman" w:cs="Times New Roman"/>
                <w:color w:val="0D0D0D"/>
                <w:sz w:val="24"/>
                <w:szCs w:val="24"/>
              </w:rPr>
              <w:t xml:space="preserve"> considers the introduction of laws or regulations concerning ESG performance and disclosure as a possible risk to its business model.</w:t>
            </w:r>
          </w:p>
        </w:tc>
        <w:tc>
          <w:tcPr>
            <w:tcW w:w="2935" w:type="dxa"/>
            <w:tcBorders>
              <w:top w:val="single" w:sz="4" w:space="0" w:color="E3E3E3"/>
              <w:left w:val="single" w:sz="6" w:space="0" w:color="E3E3E3"/>
              <w:bottom w:val="single" w:sz="6" w:space="0" w:color="E3E3E3"/>
              <w:right w:val="single" w:sz="6" w:space="0" w:color="E3E3E3"/>
            </w:tcBorders>
            <w:shd w:val="clear" w:color="auto" w:fill="E8E8E8" w:themeFill="background2"/>
            <w:vAlign w:val="center"/>
          </w:tcPr>
          <w:p w14:paraId="1B592C6E" w14:textId="77777777" w:rsidR="00A70719" w:rsidRDefault="004E12F5" w:rsidP="00216D77">
            <w:pPr>
              <w:spacing w:after="0" w:line="24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ESG performance and reporting are not mentioned as concerns which could impact their reputation</w:t>
            </w:r>
          </w:p>
        </w:tc>
      </w:tr>
      <w:tr w:rsidR="00A70719" w14:paraId="567AFDC4" w14:textId="77777777" w:rsidTr="00216D77">
        <w:tc>
          <w:tcPr>
            <w:tcW w:w="2458" w:type="dxa"/>
            <w:tcBorders>
              <w:top w:val="single" w:sz="4" w:space="0" w:color="E3E3E3"/>
              <w:left w:val="single" w:sz="6" w:space="0" w:color="E3E3E3"/>
              <w:bottom w:val="single" w:sz="6" w:space="0" w:color="E3E3E3"/>
              <w:right w:val="single" w:sz="4" w:space="0" w:color="E3E3E3"/>
            </w:tcBorders>
            <w:shd w:val="clear" w:color="auto" w:fill="D1D1D1" w:themeFill="background2" w:themeFillShade="E6"/>
            <w:vAlign w:val="center"/>
          </w:tcPr>
          <w:p w14:paraId="6C2E597C" w14:textId="77777777" w:rsidR="00A70719" w:rsidRDefault="004E12F5" w:rsidP="00216D77">
            <w:pPr>
              <w:spacing w:after="0" w:line="240"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Consumer Protection and Marketing Laws</w:t>
            </w:r>
          </w:p>
        </w:tc>
        <w:tc>
          <w:tcPr>
            <w:tcW w:w="4987" w:type="dxa"/>
            <w:tcBorders>
              <w:top w:val="single" w:sz="4" w:space="0" w:color="E3E3E3"/>
              <w:left w:val="single" w:sz="6" w:space="0" w:color="E3E3E3"/>
              <w:bottom w:val="single" w:sz="6" w:space="0" w:color="E3E3E3"/>
              <w:right w:val="single" w:sz="4" w:space="0" w:color="E3E3E3"/>
            </w:tcBorders>
            <w:shd w:val="clear" w:color="auto" w:fill="E8E8E8" w:themeFill="background2"/>
            <w:vAlign w:val="center"/>
          </w:tcPr>
          <w:p w14:paraId="492BEDEC" w14:textId="77777777" w:rsidR="00A70719" w:rsidRDefault="004E12F5" w:rsidP="00216D77">
            <w:pPr>
              <w:spacing w:after="0" w:line="24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They have mentioned enacting laws by regulatory bodies governing consumer protection and </w:t>
            </w:r>
            <w:r>
              <w:rPr>
                <w:rFonts w:ascii="Times New Roman" w:eastAsia="Times New Roman" w:hAnsi="Times New Roman" w:cs="Times New Roman"/>
                <w:color w:val="0D0D0D"/>
                <w:sz w:val="24"/>
                <w:szCs w:val="24"/>
              </w:rPr>
              <w:lastRenderedPageBreak/>
              <w:t>marketing, which could substantially impact its business model.</w:t>
            </w:r>
          </w:p>
        </w:tc>
        <w:tc>
          <w:tcPr>
            <w:tcW w:w="2935" w:type="dxa"/>
            <w:tcBorders>
              <w:top w:val="single" w:sz="4" w:space="0" w:color="E3E3E3"/>
              <w:left w:val="single" w:sz="6" w:space="0" w:color="E3E3E3"/>
              <w:bottom w:val="single" w:sz="6" w:space="0" w:color="E3E3E3"/>
              <w:right w:val="single" w:sz="6" w:space="0" w:color="E3E3E3"/>
            </w:tcBorders>
            <w:shd w:val="clear" w:color="auto" w:fill="E8E8E8" w:themeFill="background2"/>
            <w:vAlign w:val="center"/>
          </w:tcPr>
          <w:p w14:paraId="35534496" w14:textId="77777777" w:rsidR="00A70719" w:rsidRDefault="004E12F5" w:rsidP="00216D77">
            <w:pPr>
              <w:spacing w:after="0" w:line="24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 xml:space="preserve">Have no discussion on consumer protection and </w:t>
            </w:r>
            <w:r>
              <w:rPr>
                <w:rFonts w:ascii="Times New Roman" w:eastAsia="Times New Roman" w:hAnsi="Times New Roman" w:cs="Times New Roman"/>
                <w:color w:val="0D0D0D"/>
                <w:sz w:val="24"/>
                <w:szCs w:val="24"/>
              </w:rPr>
              <w:lastRenderedPageBreak/>
              <w:t>marketing regulations as potential risks.</w:t>
            </w:r>
          </w:p>
        </w:tc>
      </w:tr>
      <w:tr w:rsidR="00A70719" w14:paraId="25D43DE4" w14:textId="77777777" w:rsidTr="00216D77">
        <w:tc>
          <w:tcPr>
            <w:tcW w:w="2458" w:type="dxa"/>
            <w:tcBorders>
              <w:top w:val="single" w:sz="4" w:space="0" w:color="E3E3E3"/>
              <w:left w:val="single" w:sz="6" w:space="0" w:color="E3E3E3"/>
              <w:bottom w:val="single" w:sz="6" w:space="0" w:color="E3E3E3"/>
              <w:right w:val="single" w:sz="4" w:space="0" w:color="E3E3E3"/>
            </w:tcBorders>
            <w:shd w:val="clear" w:color="auto" w:fill="D1D1D1" w:themeFill="background2" w:themeFillShade="E6"/>
            <w:vAlign w:val="center"/>
          </w:tcPr>
          <w:p w14:paraId="476628C9" w14:textId="77777777" w:rsidR="00A70719" w:rsidRDefault="004E12F5" w:rsidP="00216D77">
            <w:pPr>
              <w:spacing w:after="0" w:line="240"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lastRenderedPageBreak/>
              <w:t>Strategic Transactions</w:t>
            </w:r>
          </w:p>
          <w:p w14:paraId="35378608" w14:textId="77777777" w:rsidR="00A70719" w:rsidRDefault="004E12F5" w:rsidP="00216D77">
            <w:pPr>
              <w:spacing w:after="0" w:line="240"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(Merger/Acquisition)</w:t>
            </w:r>
          </w:p>
        </w:tc>
        <w:tc>
          <w:tcPr>
            <w:tcW w:w="4987" w:type="dxa"/>
            <w:tcBorders>
              <w:top w:val="single" w:sz="4" w:space="0" w:color="E3E3E3"/>
              <w:left w:val="single" w:sz="6" w:space="0" w:color="E3E3E3"/>
              <w:bottom w:val="single" w:sz="6" w:space="0" w:color="E3E3E3"/>
              <w:right w:val="single" w:sz="4" w:space="0" w:color="E3E3E3"/>
            </w:tcBorders>
            <w:shd w:val="clear" w:color="auto" w:fill="E8E8E8" w:themeFill="background2"/>
            <w:vAlign w:val="center"/>
          </w:tcPr>
          <w:p w14:paraId="2E1DA0AC" w14:textId="77777777" w:rsidR="00A70719" w:rsidRDefault="004E12F5" w:rsidP="00216D77">
            <w:pPr>
              <w:spacing w:after="0" w:line="24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The risks associated with strategic actions, including </w:t>
            </w:r>
            <w:r>
              <w:rPr>
                <w:rFonts w:ascii="Times New Roman" w:eastAsia="Times New Roman" w:hAnsi="Times New Roman" w:cs="Times New Roman"/>
                <w:color w:val="0D0D0D"/>
                <w:sz w:val="24"/>
                <w:szCs w:val="24"/>
              </w:rPr>
              <w:t>acquisitions and investments, could adversely affect its operations.</w:t>
            </w:r>
          </w:p>
        </w:tc>
        <w:tc>
          <w:tcPr>
            <w:tcW w:w="2935" w:type="dxa"/>
            <w:tcBorders>
              <w:top w:val="single" w:sz="4" w:space="0" w:color="E3E3E3"/>
              <w:left w:val="single" w:sz="6" w:space="0" w:color="E3E3E3"/>
              <w:bottom w:val="single" w:sz="6" w:space="0" w:color="E3E3E3"/>
              <w:right w:val="single" w:sz="6" w:space="0" w:color="E3E3E3"/>
            </w:tcBorders>
            <w:shd w:val="clear" w:color="auto" w:fill="E8E8E8" w:themeFill="background2"/>
            <w:vAlign w:val="center"/>
          </w:tcPr>
          <w:p w14:paraId="41A9B010" w14:textId="77777777" w:rsidR="00A70719" w:rsidRDefault="004E12F5" w:rsidP="00216D77">
            <w:pPr>
              <w:spacing w:after="0" w:line="24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Strategic transactions are not listed as a risk area.</w:t>
            </w:r>
          </w:p>
        </w:tc>
      </w:tr>
      <w:tr w:rsidR="00A70719" w14:paraId="3D7B3F26" w14:textId="77777777" w:rsidTr="00216D77">
        <w:tc>
          <w:tcPr>
            <w:tcW w:w="2458" w:type="dxa"/>
            <w:tcBorders>
              <w:top w:val="single" w:sz="4" w:space="0" w:color="E3E3E3"/>
              <w:left w:val="single" w:sz="6" w:space="0" w:color="E3E3E3"/>
              <w:bottom w:val="single" w:sz="6" w:space="0" w:color="E3E3E3"/>
              <w:right w:val="single" w:sz="4" w:space="0" w:color="E3E3E3"/>
            </w:tcBorders>
            <w:shd w:val="clear" w:color="auto" w:fill="D1D1D1" w:themeFill="background2" w:themeFillShade="E6"/>
            <w:vAlign w:val="center"/>
          </w:tcPr>
          <w:p w14:paraId="5A5712C4" w14:textId="77777777" w:rsidR="00A70719" w:rsidRDefault="004E12F5" w:rsidP="00216D77">
            <w:pPr>
              <w:spacing w:after="0" w:line="240"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Minority Ownership Stakes</w:t>
            </w:r>
          </w:p>
        </w:tc>
        <w:tc>
          <w:tcPr>
            <w:tcW w:w="4987" w:type="dxa"/>
            <w:tcBorders>
              <w:top w:val="single" w:sz="4" w:space="0" w:color="E3E3E3"/>
              <w:left w:val="single" w:sz="6" w:space="0" w:color="E3E3E3"/>
              <w:bottom w:val="single" w:sz="6" w:space="0" w:color="E3E3E3"/>
              <w:right w:val="single" w:sz="4" w:space="0" w:color="E3E3E3"/>
            </w:tcBorders>
            <w:shd w:val="clear" w:color="auto" w:fill="E8E8E8" w:themeFill="background2"/>
            <w:vAlign w:val="center"/>
          </w:tcPr>
          <w:p w14:paraId="5977D938" w14:textId="77777777" w:rsidR="00A70719" w:rsidRDefault="004E12F5" w:rsidP="00216D77">
            <w:pPr>
              <w:spacing w:after="0" w:line="24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Discusses the challenges associated with holding minority stakes in companies and the potential effects on their investment value.</w:t>
            </w:r>
          </w:p>
        </w:tc>
        <w:tc>
          <w:tcPr>
            <w:tcW w:w="2935" w:type="dxa"/>
            <w:tcBorders>
              <w:top w:val="single" w:sz="4" w:space="0" w:color="E3E3E3"/>
              <w:left w:val="single" w:sz="6" w:space="0" w:color="E3E3E3"/>
              <w:bottom w:val="single" w:sz="6" w:space="0" w:color="E3E3E3"/>
              <w:right w:val="single" w:sz="6" w:space="0" w:color="E3E3E3"/>
            </w:tcBorders>
            <w:shd w:val="clear" w:color="auto" w:fill="E8E8E8" w:themeFill="background2"/>
            <w:vAlign w:val="center"/>
          </w:tcPr>
          <w:p w14:paraId="65D52863" w14:textId="77777777" w:rsidR="00A70719" w:rsidRDefault="004E12F5" w:rsidP="00216D77">
            <w:pPr>
              <w:spacing w:after="0" w:line="24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Ownership stakes, </w:t>
            </w:r>
            <w:proofErr w:type="gramStart"/>
            <w:r>
              <w:rPr>
                <w:rFonts w:ascii="Times New Roman" w:eastAsia="Times New Roman" w:hAnsi="Times New Roman" w:cs="Times New Roman"/>
                <w:color w:val="0D0D0D"/>
                <w:sz w:val="24"/>
                <w:szCs w:val="24"/>
              </w:rPr>
              <w:t>whether</w:t>
            </w:r>
            <w:proofErr w:type="gramEnd"/>
            <w:r>
              <w:rPr>
                <w:rFonts w:ascii="Times New Roman" w:eastAsia="Times New Roman" w:hAnsi="Times New Roman" w:cs="Times New Roman"/>
                <w:color w:val="0D0D0D"/>
                <w:sz w:val="24"/>
                <w:szCs w:val="24"/>
              </w:rPr>
              <w:t xml:space="preserve"> minority </w:t>
            </w:r>
            <w:proofErr w:type="gramStart"/>
            <w:r>
              <w:rPr>
                <w:rFonts w:ascii="Times New Roman" w:eastAsia="Times New Roman" w:hAnsi="Times New Roman" w:cs="Times New Roman"/>
                <w:color w:val="0D0D0D"/>
                <w:sz w:val="24"/>
                <w:szCs w:val="24"/>
              </w:rPr>
              <w:t>or</w:t>
            </w:r>
            <w:proofErr w:type="gramEnd"/>
            <w:r>
              <w:rPr>
                <w:rFonts w:ascii="Times New Roman" w:eastAsia="Times New Roman" w:hAnsi="Times New Roman" w:cs="Times New Roman"/>
                <w:color w:val="0D0D0D"/>
                <w:sz w:val="24"/>
                <w:szCs w:val="24"/>
              </w:rPr>
              <w:t xml:space="preserve"> majority, are not specified as risk factors.</w:t>
            </w:r>
          </w:p>
        </w:tc>
      </w:tr>
      <w:tr w:rsidR="00A70719" w14:paraId="1FB33231" w14:textId="77777777" w:rsidTr="00216D77">
        <w:tc>
          <w:tcPr>
            <w:tcW w:w="2458" w:type="dxa"/>
            <w:tcBorders>
              <w:top w:val="single" w:sz="4" w:space="0" w:color="E3E3E3"/>
              <w:left w:val="single" w:sz="6" w:space="0" w:color="E3E3E3"/>
              <w:bottom w:val="single" w:sz="6" w:space="0" w:color="E3E3E3"/>
              <w:right w:val="single" w:sz="4" w:space="0" w:color="E3E3E3"/>
            </w:tcBorders>
            <w:shd w:val="clear" w:color="auto" w:fill="D1D1D1" w:themeFill="background2" w:themeFillShade="E6"/>
            <w:vAlign w:val="center"/>
          </w:tcPr>
          <w:p w14:paraId="3C325ED6" w14:textId="77777777" w:rsidR="00A70719" w:rsidRDefault="004E12F5" w:rsidP="00216D77">
            <w:pPr>
              <w:spacing w:after="0" w:line="240"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International Content Liability</w:t>
            </w:r>
          </w:p>
        </w:tc>
        <w:tc>
          <w:tcPr>
            <w:tcW w:w="4987" w:type="dxa"/>
            <w:tcBorders>
              <w:top w:val="single" w:sz="4" w:space="0" w:color="E3E3E3"/>
              <w:left w:val="single" w:sz="6" w:space="0" w:color="E3E3E3"/>
              <w:bottom w:val="single" w:sz="6" w:space="0" w:color="E3E3E3"/>
              <w:right w:val="single" w:sz="4" w:space="0" w:color="E3E3E3"/>
            </w:tcBorders>
            <w:shd w:val="clear" w:color="auto" w:fill="E8E8E8" w:themeFill="background2"/>
            <w:vAlign w:val="center"/>
          </w:tcPr>
          <w:p w14:paraId="736CFCE6" w14:textId="77777777" w:rsidR="00A70719" w:rsidRDefault="004E12F5" w:rsidP="00216D77">
            <w:pPr>
              <w:spacing w:after="0" w:line="24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Expresses concerns over potential liabilities for customer-provided content on its platforms, which could necessitate new measures or discontinuation of certain services.</w:t>
            </w:r>
          </w:p>
        </w:tc>
        <w:tc>
          <w:tcPr>
            <w:tcW w:w="2935" w:type="dxa"/>
            <w:tcBorders>
              <w:top w:val="single" w:sz="4" w:space="0" w:color="E3E3E3"/>
              <w:left w:val="single" w:sz="6" w:space="0" w:color="E3E3E3"/>
              <w:bottom w:val="single" w:sz="6" w:space="0" w:color="E3E3E3"/>
              <w:right w:val="single" w:sz="6" w:space="0" w:color="E3E3E3"/>
            </w:tcBorders>
            <w:shd w:val="clear" w:color="auto" w:fill="E8E8E8" w:themeFill="background2"/>
            <w:vAlign w:val="center"/>
          </w:tcPr>
          <w:p w14:paraId="372EF67F" w14:textId="77777777" w:rsidR="00A70719" w:rsidRDefault="004E12F5" w:rsidP="00216D77">
            <w:pPr>
              <w:spacing w:after="0" w:line="24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Does not specify liability for user-provided content as a risk.</w:t>
            </w:r>
          </w:p>
        </w:tc>
      </w:tr>
      <w:tr w:rsidR="00A70719" w14:paraId="490E53E7" w14:textId="77777777" w:rsidTr="00216D77">
        <w:tc>
          <w:tcPr>
            <w:tcW w:w="2458" w:type="dxa"/>
            <w:tcBorders>
              <w:top w:val="single" w:sz="4" w:space="0" w:color="E3E3E3"/>
              <w:left w:val="single" w:sz="6" w:space="0" w:color="E3E3E3"/>
              <w:bottom w:val="single" w:sz="6" w:space="0" w:color="E3E3E3"/>
              <w:right w:val="single" w:sz="4" w:space="0" w:color="E3E3E3"/>
            </w:tcBorders>
            <w:shd w:val="clear" w:color="auto" w:fill="D1D1D1" w:themeFill="background2" w:themeFillShade="E6"/>
            <w:vAlign w:val="center"/>
          </w:tcPr>
          <w:p w14:paraId="3899434A" w14:textId="77777777" w:rsidR="00A70719" w:rsidRDefault="004E12F5" w:rsidP="00216D77">
            <w:pPr>
              <w:spacing w:after="0" w:line="240"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Cybersecurity Incident Response &amp; Third-Party Events</w:t>
            </w:r>
          </w:p>
        </w:tc>
        <w:tc>
          <w:tcPr>
            <w:tcW w:w="4987" w:type="dxa"/>
            <w:tcBorders>
              <w:top w:val="single" w:sz="4" w:space="0" w:color="E3E3E3"/>
              <w:left w:val="single" w:sz="6" w:space="0" w:color="E3E3E3"/>
              <w:bottom w:val="single" w:sz="6" w:space="0" w:color="E3E3E3"/>
              <w:right w:val="single" w:sz="4" w:space="0" w:color="E3E3E3"/>
            </w:tcBorders>
            <w:shd w:val="clear" w:color="auto" w:fill="E8E8E8" w:themeFill="background2"/>
            <w:vAlign w:val="center"/>
          </w:tcPr>
          <w:p w14:paraId="6AB73E47" w14:textId="77777777" w:rsidR="00A70719" w:rsidRDefault="004E12F5" w:rsidP="00216D77">
            <w:pPr>
              <w:spacing w:after="0" w:line="24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Offers a framework for its approach to cybersecurity threats and the management of third-party cybersecurity events.</w:t>
            </w:r>
          </w:p>
        </w:tc>
        <w:tc>
          <w:tcPr>
            <w:tcW w:w="2935" w:type="dxa"/>
            <w:tcBorders>
              <w:top w:val="single" w:sz="4" w:space="0" w:color="E3E3E3"/>
              <w:left w:val="single" w:sz="6" w:space="0" w:color="E3E3E3"/>
              <w:bottom w:val="single" w:sz="6" w:space="0" w:color="E3E3E3"/>
              <w:right w:val="single" w:sz="6" w:space="0" w:color="E3E3E3"/>
            </w:tcBorders>
            <w:shd w:val="clear" w:color="auto" w:fill="E8E8E8" w:themeFill="background2"/>
            <w:vAlign w:val="center"/>
          </w:tcPr>
          <w:p w14:paraId="12DD262D" w14:textId="77777777" w:rsidR="00A70719" w:rsidRDefault="004E12F5" w:rsidP="00216D77">
            <w:pPr>
              <w:spacing w:after="0" w:line="24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Does not detail its stance or measures against cybersecurity threats.</w:t>
            </w:r>
          </w:p>
        </w:tc>
      </w:tr>
      <w:tr w:rsidR="00A70719" w14:paraId="1CE5C5DA" w14:textId="77777777" w:rsidTr="00216D77">
        <w:tc>
          <w:tcPr>
            <w:tcW w:w="2458" w:type="dxa"/>
            <w:tcBorders>
              <w:top w:val="single" w:sz="4" w:space="0" w:color="E3E3E3"/>
              <w:left w:val="single" w:sz="6" w:space="0" w:color="E3E3E3"/>
              <w:bottom w:val="single" w:sz="6" w:space="0" w:color="E3E3E3"/>
              <w:right w:val="single" w:sz="4" w:space="0" w:color="E3E3E3"/>
            </w:tcBorders>
            <w:shd w:val="clear" w:color="auto" w:fill="D1D1D1" w:themeFill="background2" w:themeFillShade="E6"/>
            <w:vAlign w:val="center"/>
          </w:tcPr>
          <w:p w14:paraId="45B5B0AA" w14:textId="77777777" w:rsidR="00A70719" w:rsidRDefault="004E12F5" w:rsidP="00216D77">
            <w:pPr>
              <w:spacing w:after="0" w:line="240"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Cybersecurity Incidents</w:t>
            </w:r>
          </w:p>
        </w:tc>
        <w:tc>
          <w:tcPr>
            <w:tcW w:w="4987" w:type="dxa"/>
            <w:tcBorders>
              <w:top w:val="single" w:sz="4" w:space="0" w:color="E3E3E3"/>
              <w:left w:val="single" w:sz="6" w:space="0" w:color="E3E3E3"/>
              <w:bottom w:val="single" w:sz="6" w:space="0" w:color="E3E3E3"/>
              <w:right w:val="single" w:sz="4" w:space="0" w:color="E3E3E3"/>
            </w:tcBorders>
            <w:shd w:val="clear" w:color="auto" w:fill="E8E8E8" w:themeFill="background2"/>
            <w:vAlign w:val="center"/>
          </w:tcPr>
          <w:p w14:paraId="66474B3D" w14:textId="77777777" w:rsidR="00A70719" w:rsidRDefault="004E12F5" w:rsidP="00216D77">
            <w:pPr>
              <w:spacing w:after="0" w:line="24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Outlines its preparedness and response plans to cybersecurity incidents.</w:t>
            </w:r>
          </w:p>
        </w:tc>
        <w:tc>
          <w:tcPr>
            <w:tcW w:w="2935" w:type="dxa"/>
            <w:tcBorders>
              <w:top w:val="single" w:sz="4" w:space="0" w:color="E3E3E3"/>
              <w:left w:val="single" w:sz="6" w:space="0" w:color="E3E3E3"/>
              <w:bottom w:val="single" w:sz="6" w:space="0" w:color="E3E3E3"/>
              <w:right w:val="single" w:sz="6" w:space="0" w:color="E3E3E3"/>
            </w:tcBorders>
            <w:shd w:val="clear" w:color="auto" w:fill="E8E8E8" w:themeFill="background2"/>
            <w:vAlign w:val="center"/>
          </w:tcPr>
          <w:p w14:paraId="581E4910" w14:textId="77777777" w:rsidR="00A70719" w:rsidRDefault="004E12F5" w:rsidP="00216D77">
            <w:pPr>
              <w:spacing w:after="0" w:line="24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ACI </w:t>
            </w:r>
            <w:proofErr w:type="spellStart"/>
            <w:r>
              <w:rPr>
                <w:rFonts w:ascii="Times New Roman" w:eastAsia="Times New Roman" w:hAnsi="Times New Roman" w:cs="Times New Roman"/>
                <w:color w:val="0D0D0D"/>
                <w:sz w:val="24"/>
                <w:szCs w:val="24"/>
              </w:rPr>
              <w:t>Worldwide's</w:t>
            </w:r>
            <w:proofErr w:type="spellEnd"/>
            <w:r>
              <w:rPr>
                <w:rFonts w:ascii="Times New Roman" w:eastAsia="Times New Roman" w:hAnsi="Times New Roman" w:cs="Times New Roman"/>
                <w:color w:val="0D0D0D"/>
                <w:sz w:val="24"/>
                <w:szCs w:val="24"/>
              </w:rPr>
              <w:t xml:space="preserve"> handling of </w:t>
            </w:r>
            <w:r>
              <w:rPr>
                <w:rFonts w:ascii="Times New Roman" w:eastAsia="Times New Roman" w:hAnsi="Times New Roman" w:cs="Times New Roman"/>
                <w:color w:val="0D0D0D"/>
                <w:sz w:val="24"/>
                <w:szCs w:val="24"/>
              </w:rPr>
              <w:t>cybersecurity incidents needs to be discussed in detail.</w:t>
            </w:r>
          </w:p>
        </w:tc>
      </w:tr>
    </w:tbl>
    <w:p w14:paraId="06B68E1C" w14:textId="7C04F4DC" w:rsidR="00A70719" w:rsidRDefault="00A70719">
      <w:pPr>
        <w:rPr>
          <w:rFonts w:ascii="Times New Roman" w:eastAsia="Times New Roman" w:hAnsi="Times New Roman" w:cs="Times New Roman"/>
          <w:color w:val="0F4761"/>
          <w:sz w:val="40"/>
          <w:szCs w:val="40"/>
        </w:rPr>
      </w:pPr>
    </w:p>
    <w:p w14:paraId="247681F2" w14:textId="77777777" w:rsidR="00A70719" w:rsidRDefault="004E12F5">
      <w:pPr>
        <w:pStyle w:val="Heading1"/>
        <w:rPr>
          <w:rFonts w:ascii="Times New Roman" w:eastAsia="Times New Roman" w:hAnsi="Times New Roman" w:cs="Times New Roman"/>
        </w:rPr>
      </w:pPr>
      <w:r>
        <w:t>Risk Prioritization</w:t>
      </w:r>
    </w:p>
    <w:p w14:paraId="7163D61C" w14:textId="77777777" w:rsidR="00A70719" w:rsidRPr="004E12F5" w:rsidRDefault="00A70719">
      <w:pPr>
        <w:rPr>
          <w:sz w:val="24"/>
          <w:szCs w:val="24"/>
        </w:rPr>
      </w:pPr>
    </w:p>
    <w:p w14:paraId="1E19EF07" w14:textId="77777777" w:rsidR="00A70719" w:rsidRPr="004E12F5" w:rsidRDefault="004E12F5">
      <w:pPr>
        <w:spacing w:after="0" w:line="240" w:lineRule="auto"/>
        <w:rPr>
          <w:rFonts w:ascii="Times New Roman" w:eastAsia="Times New Roman" w:hAnsi="Times New Roman" w:cs="Times New Roman"/>
          <w:sz w:val="24"/>
          <w:szCs w:val="24"/>
          <w:shd w:val="clear" w:color="auto" w:fill="FCFCF9"/>
        </w:rPr>
      </w:pPr>
      <w:r w:rsidRPr="004E12F5">
        <w:rPr>
          <w:sz w:val="24"/>
          <w:szCs w:val="24"/>
        </w:rPr>
        <w:t xml:space="preserve">Companies like ACI Worldwide and PayPal face many risks when navigating the dynamic and constantly changing world of digital payments. These risks include </w:t>
      </w:r>
      <w:r w:rsidRPr="004E12F5">
        <w:rPr>
          <w:sz w:val="24"/>
          <w:szCs w:val="24"/>
        </w:rPr>
        <w:t>cybersecurity threats, financial instability, market competition, and environmental, social, and governance (ESG) challenges. Even with their careful efforts and calculated interventions described in yearly 10-K reports to reduce these risks, preparation still needs to be improved due to the unpredictability of future threats. Evaluating risk factors is critical for both investors and corporations, as it directly impacts investment decisions, corporate strategy, and stakeholder confidence.</w:t>
      </w:r>
    </w:p>
    <w:p w14:paraId="63F3A6F3" w14:textId="77777777" w:rsidR="00A70719" w:rsidRDefault="00A70719">
      <w:pPr>
        <w:spacing w:after="0" w:line="240" w:lineRule="auto"/>
        <w:rPr>
          <w:rFonts w:ascii="Times New Roman" w:eastAsia="Times New Roman" w:hAnsi="Times New Roman" w:cs="Times New Roman"/>
          <w:sz w:val="24"/>
          <w:szCs w:val="24"/>
          <w:shd w:val="clear" w:color="auto" w:fill="FCFCF9"/>
        </w:rPr>
      </w:pPr>
    </w:p>
    <w:tbl>
      <w:tblPr>
        <w:tblStyle w:val="Table3"/>
        <w:tblW w:w="9720" w:type="dxa"/>
        <w:tblBorders>
          <w:top w:val="nil"/>
          <w:left w:val="nil"/>
          <w:bottom w:val="nil"/>
          <w:right w:val="nil"/>
          <w:insideH w:val="nil"/>
          <w:insideV w:val="nil"/>
        </w:tblBorders>
        <w:tblLayout w:type="fixed"/>
        <w:tblLook w:val="0600" w:firstRow="0" w:lastRow="0" w:firstColumn="0" w:lastColumn="0" w:noHBand="1" w:noVBand="1"/>
      </w:tblPr>
      <w:tblGrid>
        <w:gridCol w:w="1340"/>
        <w:gridCol w:w="1180"/>
        <w:gridCol w:w="1245"/>
        <w:gridCol w:w="1440"/>
        <w:gridCol w:w="1320"/>
        <w:gridCol w:w="1620"/>
        <w:gridCol w:w="1575"/>
      </w:tblGrid>
      <w:tr w:rsidR="002C4EAE" w:rsidRPr="004E12F5" w14:paraId="3954D0EF" w14:textId="77777777" w:rsidTr="002C4EAE">
        <w:trPr>
          <w:trHeight w:val="1401"/>
        </w:trPr>
        <w:tc>
          <w:tcPr>
            <w:tcW w:w="1340" w:type="dxa"/>
            <w:tcBorders>
              <w:top w:val="single" w:sz="8" w:space="0" w:color="E3E3E3"/>
              <w:left w:val="single" w:sz="8" w:space="0" w:color="E3E3E3"/>
              <w:bottom w:val="single" w:sz="8" w:space="0" w:color="E3E3E3"/>
              <w:right w:val="nil"/>
            </w:tcBorders>
            <w:shd w:val="clear" w:color="auto" w:fill="E8E8E8" w:themeFill="background2"/>
            <w:tcMar>
              <w:top w:w="100" w:type="dxa"/>
              <w:left w:w="100" w:type="dxa"/>
              <w:bottom w:w="100" w:type="dxa"/>
              <w:right w:w="100" w:type="dxa"/>
            </w:tcMar>
          </w:tcPr>
          <w:p w14:paraId="15589617" w14:textId="77777777" w:rsidR="00A70719" w:rsidRPr="004E12F5" w:rsidRDefault="004E12F5" w:rsidP="00216D77">
            <w:pPr>
              <w:spacing w:after="0" w:line="411" w:lineRule="auto"/>
              <w:rPr>
                <w:rFonts w:asciiTheme="minorHAnsi" w:eastAsia="Times New Roman" w:hAnsiTheme="minorHAnsi" w:cs="Times New Roman"/>
                <w:b/>
                <w:color w:val="0D0D0D"/>
                <w:sz w:val="19"/>
                <w:szCs w:val="19"/>
                <w:shd w:val="clear" w:color="auto" w:fill="FCFCF9"/>
              </w:rPr>
            </w:pPr>
            <w:r w:rsidRPr="004E12F5">
              <w:rPr>
                <w:rFonts w:asciiTheme="minorHAnsi" w:eastAsia="Times New Roman" w:hAnsiTheme="minorHAnsi" w:cs="Times New Roman"/>
                <w:b/>
                <w:color w:val="0D0D0D"/>
                <w:sz w:val="19"/>
                <w:szCs w:val="19"/>
                <w:shd w:val="clear" w:color="auto" w:fill="FCFCF9"/>
              </w:rPr>
              <w:t xml:space="preserve">Risk </w:t>
            </w:r>
            <w:r w:rsidRPr="004E12F5">
              <w:rPr>
                <w:rFonts w:asciiTheme="minorHAnsi" w:eastAsia="Times New Roman" w:hAnsiTheme="minorHAnsi" w:cs="Times New Roman"/>
                <w:b/>
                <w:color w:val="0D0D0D"/>
                <w:sz w:val="19"/>
                <w:szCs w:val="19"/>
                <w:shd w:val="clear" w:color="auto" w:fill="FCFCF9"/>
              </w:rPr>
              <w:t>Categories</w:t>
            </w:r>
          </w:p>
        </w:tc>
        <w:tc>
          <w:tcPr>
            <w:tcW w:w="1180" w:type="dxa"/>
            <w:tcBorders>
              <w:top w:val="single" w:sz="8" w:space="0" w:color="E3E3E3"/>
              <w:left w:val="single" w:sz="8" w:space="0" w:color="E3E3E3"/>
              <w:bottom w:val="single" w:sz="8" w:space="0" w:color="E3E3E3"/>
              <w:right w:val="nil"/>
            </w:tcBorders>
            <w:shd w:val="clear" w:color="auto" w:fill="E8E8E8" w:themeFill="background2"/>
            <w:tcMar>
              <w:top w:w="100" w:type="dxa"/>
              <w:left w:w="100" w:type="dxa"/>
              <w:bottom w:w="100" w:type="dxa"/>
              <w:right w:w="100" w:type="dxa"/>
            </w:tcMar>
          </w:tcPr>
          <w:p w14:paraId="0282B3B8" w14:textId="77777777" w:rsidR="00A70719" w:rsidRPr="004E12F5" w:rsidRDefault="004E12F5" w:rsidP="00216D77">
            <w:pPr>
              <w:spacing w:after="0" w:line="411" w:lineRule="auto"/>
              <w:rPr>
                <w:rFonts w:asciiTheme="minorHAnsi" w:eastAsia="Times New Roman" w:hAnsiTheme="minorHAnsi" w:cs="Times New Roman"/>
                <w:b/>
                <w:color w:val="0D0D0D"/>
                <w:sz w:val="19"/>
                <w:szCs w:val="19"/>
                <w:shd w:val="clear" w:color="auto" w:fill="FCFCF9"/>
              </w:rPr>
            </w:pPr>
            <w:r w:rsidRPr="004E12F5">
              <w:rPr>
                <w:rFonts w:asciiTheme="minorHAnsi" w:eastAsia="Times New Roman" w:hAnsiTheme="minorHAnsi" w:cs="Times New Roman"/>
                <w:b/>
                <w:color w:val="0D0D0D"/>
                <w:sz w:val="19"/>
                <w:szCs w:val="19"/>
                <w:shd w:val="clear" w:color="auto" w:fill="FCFCF9"/>
              </w:rPr>
              <w:t>Importance to Investors</w:t>
            </w:r>
          </w:p>
        </w:tc>
        <w:tc>
          <w:tcPr>
            <w:tcW w:w="1245" w:type="dxa"/>
            <w:tcBorders>
              <w:top w:val="single" w:sz="8" w:space="0" w:color="E3E3E3"/>
              <w:left w:val="single" w:sz="8" w:space="0" w:color="E3E3E3"/>
              <w:bottom w:val="single" w:sz="8" w:space="0" w:color="E3E3E3"/>
              <w:right w:val="nil"/>
            </w:tcBorders>
            <w:shd w:val="clear" w:color="auto" w:fill="E8E8E8" w:themeFill="background2"/>
            <w:tcMar>
              <w:top w:w="100" w:type="dxa"/>
              <w:left w:w="100" w:type="dxa"/>
              <w:bottom w:w="100" w:type="dxa"/>
              <w:right w:w="100" w:type="dxa"/>
            </w:tcMar>
          </w:tcPr>
          <w:p w14:paraId="6B3558A2" w14:textId="77777777" w:rsidR="00A70719" w:rsidRPr="004E12F5" w:rsidRDefault="004E12F5" w:rsidP="00216D77">
            <w:pPr>
              <w:spacing w:after="0" w:line="411" w:lineRule="auto"/>
              <w:rPr>
                <w:rFonts w:asciiTheme="minorHAnsi" w:eastAsia="Times New Roman" w:hAnsiTheme="minorHAnsi" w:cs="Times New Roman"/>
                <w:b/>
                <w:color w:val="0D0D0D"/>
                <w:sz w:val="19"/>
                <w:szCs w:val="19"/>
                <w:shd w:val="clear" w:color="auto" w:fill="FCFCF9"/>
              </w:rPr>
            </w:pPr>
            <w:r w:rsidRPr="004E12F5">
              <w:rPr>
                <w:rFonts w:asciiTheme="minorHAnsi" w:eastAsia="Times New Roman" w:hAnsiTheme="minorHAnsi" w:cs="Times New Roman"/>
                <w:b/>
                <w:color w:val="0D0D0D"/>
                <w:sz w:val="19"/>
                <w:szCs w:val="19"/>
                <w:shd w:val="clear" w:color="auto" w:fill="FCFCF9"/>
              </w:rPr>
              <w:t>Importance to Corporation</w:t>
            </w:r>
          </w:p>
        </w:tc>
        <w:tc>
          <w:tcPr>
            <w:tcW w:w="1440" w:type="dxa"/>
            <w:tcBorders>
              <w:top w:val="single" w:sz="8" w:space="0" w:color="E3E3E3"/>
              <w:left w:val="single" w:sz="8" w:space="0" w:color="E3E3E3"/>
              <w:bottom w:val="single" w:sz="8" w:space="0" w:color="E3E3E3"/>
              <w:right w:val="nil"/>
            </w:tcBorders>
            <w:shd w:val="clear" w:color="auto" w:fill="E8E8E8" w:themeFill="background2"/>
            <w:tcMar>
              <w:top w:w="100" w:type="dxa"/>
              <w:left w:w="100" w:type="dxa"/>
              <w:bottom w:w="100" w:type="dxa"/>
              <w:right w:w="100" w:type="dxa"/>
            </w:tcMar>
          </w:tcPr>
          <w:p w14:paraId="789620EF" w14:textId="77777777" w:rsidR="00A70719" w:rsidRPr="004E12F5" w:rsidRDefault="004E12F5" w:rsidP="00216D77">
            <w:pPr>
              <w:spacing w:after="0" w:line="411" w:lineRule="auto"/>
              <w:rPr>
                <w:rFonts w:asciiTheme="minorHAnsi" w:eastAsia="Times New Roman" w:hAnsiTheme="minorHAnsi" w:cs="Times New Roman"/>
                <w:b/>
                <w:color w:val="0D0D0D"/>
                <w:sz w:val="19"/>
                <w:szCs w:val="19"/>
                <w:shd w:val="clear" w:color="auto" w:fill="FCFCF9"/>
              </w:rPr>
            </w:pPr>
            <w:r w:rsidRPr="004E12F5">
              <w:rPr>
                <w:rFonts w:asciiTheme="minorHAnsi" w:eastAsia="Times New Roman" w:hAnsiTheme="minorHAnsi" w:cs="Times New Roman"/>
                <w:b/>
                <w:color w:val="0D0D0D"/>
                <w:sz w:val="19"/>
                <w:szCs w:val="19"/>
                <w:shd w:val="clear" w:color="auto" w:fill="FCFCF9"/>
              </w:rPr>
              <w:t>Potential Financial Impact</w:t>
            </w:r>
          </w:p>
        </w:tc>
        <w:tc>
          <w:tcPr>
            <w:tcW w:w="1320" w:type="dxa"/>
            <w:tcBorders>
              <w:top w:val="single" w:sz="8" w:space="0" w:color="E3E3E3"/>
              <w:left w:val="single" w:sz="8" w:space="0" w:color="E3E3E3"/>
              <w:bottom w:val="single" w:sz="8" w:space="0" w:color="E3E3E3"/>
              <w:right w:val="nil"/>
            </w:tcBorders>
            <w:shd w:val="clear" w:color="auto" w:fill="E8E8E8" w:themeFill="background2"/>
            <w:tcMar>
              <w:top w:w="100" w:type="dxa"/>
              <w:left w:w="100" w:type="dxa"/>
              <w:bottom w:w="100" w:type="dxa"/>
              <w:right w:w="100" w:type="dxa"/>
            </w:tcMar>
          </w:tcPr>
          <w:p w14:paraId="327A58C0" w14:textId="77777777" w:rsidR="00A70719" w:rsidRPr="004E12F5" w:rsidRDefault="004E12F5" w:rsidP="00216D77">
            <w:pPr>
              <w:spacing w:after="0" w:line="411" w:lineRule="auto"/>
              <w:rPr>
                <w:rFonts w:asciiTheme="minorHAnsi" w:eastAsia="Times New Roman" w:hAnsiTheme="minorHAnsi" w:cs="Times New Roman"/>
                <w:b/>
                <w:color w:val="0D0D0D"/>
                <w:sz w:val="19"/>
                <w:szCs w:val="19"/>
                <w:shd w:val="clear" w:color="auto" w:fill="FCFCF9"/>
              </w:rPr>
            </w:pPr>
            <w:r w:rsidRPr="004E12F5">
              <w:rPr>
                <w:rFonts w:asciiTheme="minorHAnsi" w:eastAsia="Times New Roman" w:hAnsiTheme="minorHAnsi" w:cs="Times New Roman"/>
                <w:b/>
                <w:color w:val="0D0D0D"/>
                <w:sz w:val="19"/>
                <w:szCs w:val="19"/>
                <w:shd w:val="clear" w:color="auto" w:fill="FCFCF9"/>
              </w:rPr>
              <w:t>Potential Impact on Reputation</w:t>
            </w:r>
          </w:p>
        </w:tc>
        <w:tc>
          <w:tcPr>
            <w:tcW w:w="1620" w:type="dxa"/>
            <w:tcBorders>
              <w:top w:val="single" w:sz="8" w:space="0" w:color="E3E3E3"/>
              <w:left w:val="single" w:sz="8" w:space="0" w:color="E3E3E3"/>
              <w:bottom w:val="single" w:sz="8" w:space="0" w:color="E3E3E3"/>
              <w:right w:val="nil"/>
            </w:tcBorders>
            <w:shd w:val="clear" w:color="auto" w:fill="E8E8E8" w:themeFill="background2"/>
            <w:tcMar>
              <w:top w:w="100" w:type="dxa"/>
              <w:left w:w="100" w:type="dxa"/>
              <w:bottom w:w="100" w:type="dxa"/>
              <w:right w:w="100" w:type="dxa"/>
            </w:tcMar>
          </w:tcPr>
          <w:p w14:paraId="1AAB9532" w14:textId="77777777" w:rsidR="00A70719" w:rsidRPr="004E12F5" w:rsidRDefault="004E12F5" w:rsidP="00216D77">
            <w:pPr>
              <w:spacing w:after="0" w:line="411" w:lineRule="auto"/>
              <w:rPr>
                <w:rFonts w:asciiTheme="minorHAnsi" w:eastAsia="Times New Roman" w:hAnsiTheme="minorHAnsi" w:cs="Times New Roman"/>
                <w:b/>
                <w:color w:val="0D0D0D"/>
                <w:sz w:val="19"/>
                <w:szCs w:val="19"/>
                <w:shd w:val="clear" w:color="auto" w:fill="FCFCF9"/>
              </w:rPr>
            </w:pPr>
            <w:r w:rsidRPr="004E12F5">
              <w:rPr>
                <w:rFonts w:asciiTheme="minorHAnsi" w:eastAsia="Times New Roman" w:hAnsiTheme="minorHAnsi" w:cs="Times New Roman"/>
                <w:b/>
                <w:color w:val="0D0D0D"/>
                <w:sz w:val="19"/>
                <w:szCs w:val="19"/>
                <w:shd w:val="clear" w:color="auto" w:fill="FCFCF9"/>
              </w:rPr>
              <w:t>Effective Communication &amp; Prioritization (ACIW)</w:t>
            </w:r>
          </w:p>
        </w:tc>
        <w:tc>
          <w:tcPr>
            <w:tcW w:w="1575" w:type="dxa"/>
            <w:tcBorders>
              <w:top w:val="single" w:sz="8" w:space="0" w:color="E3E3E3"/>
              <w:left w:val="single" w:sz="8" w:space="0" w:color="E3E3E3"/>
              <w:bottom w:val="single" w:sz="8" w:space="0" w:color="E3E3E3"/>
              <w:right w:val="single" w:sz="8" w:space="0" w:color="E3E3E3"/>
            </w:tcBorders>
            <w:shd w:val="clear" w:color="auto" w:fill="E8E8E8" w:themeFill="background2"/>
            <w:tcMar>
              <w:top w:w="100" w:type="dxa"/>
              <w:left w:w="100" w:type="dxa"/>
              <w:bottom w:w="100" w:type="dxa"/>
              <w:right w:w="100" w:type="dxa"/>
            </w:tcMar>
          </w:tcPr>
          <w:p w14:paraId="438751AA" w14:textId="77777777" w:rsidR="00A70719" w:rsidRPr="004E12F5" w:rsidRDefault="004E12F5" w:rsidP="00216D77">
            <w:pPr>
              <w:spacing w:after="0" w:line="411" w:lineRule="auto"/>
              <w:rPr>
                <w:rFonts w:asciiTheme="minorHAnsi" w:eastAsia="Times New Roman" w:hAnsiTheme="minorHAnsi" w:cs="Times New Roman"/>
                <w:b/>
                <w:color w:val="0D0D0D"/>
                <w:sz w:val="19"/>
                <w:szCs w:val="19"/>
                <w:shd w:val="clear" w:color="auto" w:fill="FCFCF9"/>
              </w:rPr>
            </w:pPr>
            <w:r w:rsidRPr="004E12F5">
              <w:rPr>
                <w:rFonts w:asciiTheme="minorHAnsi" w:eastAsia="Times New Roman" w:hAnsiTheme="minorHAnsi" w:cs="Times New Roman"/>
                <w:b/>
                <w:color w:val="0D0D0D"/>
                <w:sz w:val="19"/>
                <w:szCs w:val="19"/>
                <w:shd w:val="clear" w:color="auto" w:fill="FCFCF9"/>
              </w:rPr>
              <w:t>Effective Communication &amp; Prioritization (PYPL)</w:t>
            </w:r>
          </w:p>
        </w:tc>
      </w:tr>
      <w:tr w:rsidR="00A70719" w:rsidRPr="004E12F5" w14:paraId="2EA9DAE6" w14:textId="77777777" w:rsidTr="002C4EAE">
        <w:trPr>
          <w:trHeight w:val="2135"/>
        </w:trPr>
        <w:tc>
          <w:tcPr>
            <w:tcW w:w="1340" w:type="dxa"/>
            <w:tcBorders>
              <w:top w:val="nil"/>
              <w:left w:val="single" w:sz="8" w:space="0" w:color="E3E3E3"/>
              <w:bottom w:val="single" w:sz="8" w:space="0" w:color="E3E3E3"/>
              <w:right w:val="nil"/>
            </w:tcBorders>
            <w:shd w:val="clear" w:color="auto" w:fill="E8E8E8" w:themeFill="background2"/>
            <w:tcMar>
              <w:top w:w="100" w:type="dxa"/>
              <w:left w:w="100" w:type="dxa"/>
              <w:bottom w:w="100" w:type="dxa"/>
              <w:right w:w="100" w:type="dxa"/>
            </w:tcMar>
          </w:tcPr>
          <w:p w14:paraId="05E02311" w14:textId="77777777" w:rsidR="00A70719" w:rsidRPr="004E12F5" w:rsidRDefault="004E12F5" w:rsidP="00216D77">
            <w:pPr>
              <w:spacing w:after="0" w:line="411" w:lineRule="auto"/>
              <w:rPr>
                <w:rFonts w:asciiTheme="minorHAnsi" w:eastAsia="Times New Roman" w:hAnsiTheme="minorHAnsi" w:cs="Times New Roman"/>
                <w:b/>
                <w:color w:val="0D0D0D"/>
                <w:sz w:val="19"/>
                <w:szCs w:val="19"/>
                <w:shd w:val="clear" w:color="auto" w:fill="FCFCF9"/>
              </w:rPr>
            </w:pPr>
            <w:r w:rsidRPr="004E12F5">
              <w:rPr>
                <w:rFonts w:asciiTheme="minorHAnsi" w:eastAsia="Times New Roman" w:hAnsiTheme="minorHAnsi" w:cs="Times New Roman"/>
                <w:b/>
                <w:color w:val="0D0D0D"/>
                <w:sz w:val="19"/>
                <w:szCs w:val="19"/>
                <w:shd w:val="clear" w:color="auto" w:fill="FCFCF9"/>
              </w:rPr>
              <w:lastRenderedPageBreak/>
              <w:t>Cybersecurity and Technology Risks</w:t>
            </w:r>
          </w:p>
        </w:tc>
        <w:tc>
          <w:tcPr>
            <w:tcW w:w="1180" w:type="dxa"/>
            <w:tcBorders>
              <w:top w:val="nil"/>
              <w:left w:val="single" w:sz="8" w:space="0" w:color="E3E3E3"/>
              <w:bottom w:val="single" w:sz="8" w:space="0" w:color="E3E3E3"/>
              <w:right w:val="nil"/>
            </w:tcBorders>
            <w:shd w:val="clear" w:color="auto" w:fill="F2F2F2" w:themeFill="background1" w:themeFillShade="F2"/>
            <w:tcMar>
              <w:top w:w="100" w:type="dxa"/>
              <w:left w:w="100" w:type="dxa"/>
              <w:bottom w:w="100" w:type="dxa"/>
              <w:right w:w="100" w:type="dxa"/>
            </w:tcMar>
          </w:tcPr>
          <w:p w14:paraId="02ADE62C" w14:textId="77777777" w:rsidR="00A70719" w:rsidRPr="004E12F5" w:rsidRDefault="004E12F5" w:rsidP="00216D77">
            <w:pPr>
              <w:spacing w:after="0" w:line="411" w:lineRule="auto"/>
              <w:rPr>
                <w:rFonts w:asciiTheme="minorHAnsi" w:eastAsia="Times New Roman" w:hAnsiTheme="minorHAnsi" w:cs="Times New Roman"/>
                <w:bCs/>
                <w:i/>
                <w:iCs/>
                <w:color w:val="0D0D0D"/>
                <w:sz w:val="19"/>
                <w:szCs w:val="19"/>
                <w:shd w:val="clear" w:color="auto" w:fill="FCFCF9"/>
              </w:rPr>
            </w:pPr>
            <w:r w:rsidRPr="004E12F5">
              <w:rPr>
                <w:rFonts w:asciiTheme="minorHAnsi" w:eastAsia="Times New Roman" w:hAnsiTheme="minorHAnsi" w:cs="Times New Roman"/>
                <w:bCs/>
                <w:i/>
                <w:iCs/>
                <w:color w:val="0D0D0D"/>
                <w:sz w:val="19"/>
                <w:szCs w:val="19"/>
                <w:shd w:val="clear" w:color="auto" w:fill="FCFCF9"/>
              </w:rPr>
              <w:t>High</w:t>
            </w:r>
          </w:p>
        </w:tc>
        <w:tc>
          <w:tcPr>
            <w:tcW w:w="1245" w:type="dxa"/>
            <w:tcBorders>
              <w:top w:val="nil"/>
              <w:left w:val="single" w:sz="8" w:space="0" w:color="E3E3E3"/>
              <w:bottom w:val="single" w:sz="8" w:space="0" w:color="E3E3E3"/>
              <w:right w:val="nil"/>
            </w:tcBorders>
            <w:shd w:val="clear" w:color="auto" w:fill="F2F2F2" w:themeFill="background1" w:themeFillShade="F2"/>
            <w:tcMar>
              <w:top w:w="100" w:type="dxa"/>
              <w:left w:w="100" w:type="dxa"/>
              <w:bottom w:w="100" w:type="dxa"/>
              <w:right w:w="100" w:type="dxa"/>
            </w:tcMar>
          </w:tcPr>
          <w:p w14:paraId="6463D2CA" w14:textId="77777777" w:rsidR="00A70719" w:rsidRPr="004E12F5" w:rsidRDefault="004E12F5" w:rsidP="00216D77">
            <w:pPr>
              <w:spacing w:after="0" w:line="411" w:lineRule="auto"/>
              <w:rPr>
                <w:rFonts w:asciiTheme="minorHAnsi" w:eastAsia="Times New Roman" w:hAnsiTheme="minorHAnsi" w:cs="Times New Roman"/>
                <w:bCs/>
                <w:i/>
                <w:iCs/>
                <w:color w:val="0D0D0D"/>
                <w:sz w:val="19"/>
                <w:szCs w:val="19"/>
                <w:shd w:val="clear" w:color="auto" w:fill="FCFCF9"/>
              </w:rPr>
            </w:pPr>
            <w:r w:rsidRPr="004E12F5">
              <w:rPr>
                <w:rFonts w:asciiTheme="minorHAnsi" w:eastAsia="Times New Roman" w:hAnsiTheme="minorHAnsi" w:cs="Times New Roman"/>
                <w:bCs/>
                <w:i/>
                <w:iCs/>
                <w:color w:val="0D0D0D"/>
                <w:sz w:val="19"/>
                <w:szCs w:val="19"/>
                <w:shd w:val="clear" w:color="auto" w:fill="FCFCF9"/>
              </w:rPr>
              <w:t>High</w:t>
            </w:r>
          </w:p>
        </w:tc>
        <w:tc>
          <w:tcPr>
            <w:tcW w:w="1440" w:type="dxa"/>
            <w:tcBorders>
              <w:top w:val="nil"/>
              <w:left w:val="single" w:sz="8" w:space="0" w:color="E3E3E3"/>
              <w:bottom w:val="single" w:sz="8" w:space="0" w:color="E3E3E3"/>
              <w:right w:val="nil"/>
            </w:tcBorders>
            <w:shd w:val="clear" w:color="auto" w:fill="F2F2F2" w:themeFill="background1" w:themeFillShade="F2"/>
            <w:tcMar>
              <w:top w:w="100" w:type="dxa"/>
              <w:left w:w="100" w:type="dxa"/>
              <w:bottom w:w="100" w:type="dxa"/>
              <w:right w:w="100" w:type="dxa"/>
            </w:tcMar>
          </w:tcPr>
          <w:p w14:paraId="649A810D" w14:textId="77777777" w:rsidR="00A70719" w:rsidRPr="004E12F5" w:rsidRDefault="004E12F5" w:rsidP="00216D77">
            <w:pPr>
              <w:spacing w:after="0" w:line="411" w:lineRule="auto"/>
              <w:rPr>
                <w:rFonts w:asciiTheme="minorHAnsi" w:eastAsia="Times New Roman" w:hAnsiTheme="minorHAnsi" w:cs="Times New Roman"/>
                <w:bCs/>
                <w:i/>
                <w:iCs/>
                <w:color w:val="0D0D0D"/>
                <w:sz w:val="19"/>
                <w:szCs w:val="19"/>
                <w:shd w:val="clear" w:color="auto" w:fill="FCFCF9"/>
              </w:rPr>
            </w:pPr>
            <w:r w:rsidRPr="004E12F5">
              <w:rPr>
                <w:rFonts w:asciiTheme="minorHAnsi" w:eastAsia="Times New Roman" w:hAnsiTheme="minorHAnsi" w:cs="Times New Roman"/>
                <w:bCs/>
                <w:i/>
                <w:iCs/>
                <w:color w:val="0D0D0D"/>
                <w:sz w:val="19"/>
                <w:szCs w:val="19"/>
                <w:shd w:val="clear" w:color="auto" w:fill="FCFCF9"/>
              </w:rPr>
              <w:t>High (Direct financial losses, operational disruption)</w:t>
            </w:r>
          </w:p>
        </w:tc>
        <w:tc>
          <w:tcPr>
            <w:tcW w:w="1320" w:type="dxa"/>
            <w:tcBorders>
              <w:top w:val="nil"/>
              <w:left w:val="single" w:sz="8" w:space="0" w:color="E3E3E3"/>
              <w:bottom w:val="single" w:sz="8" w:space="0" w:color="E3E3E3"/>
              <w:right w:val="nil"/>
            </w:tcBorders>
            <w:shd w:val="clear" w:color="auto" w:fill="F2F2F2" w:themeFill="background1" w:themeFillShade="F2"/>
            <w:tcMar>
              <w:top w:w="100" w:type="dxa"/>
              <w:left w:w="100" w:type="dxa"/>
              <w:bottom w:w="100" w:type="dxa"/>
              <w:right w:w="100" w:type="dxa"/>
            </w:tcMar>
          </w:tcPr>
          <w:p w14:paraId="1655AF42" w14:textId="77777777" w:rsidR="00A70719" w:rsidRPr="004E12F5" w:rsidRDefault="004E12F5" w:rsidP="00216D77">
            <w:pPr>
              <w:spacing w:after="0" w:line="411" w:lineRule="auto"/>
              <w:rPr>
                <w:rFonts w:asciiTheme="minorHAnsi" w:eastAsia="Times New Roman" w:hAnsiTheme="minorHAnsi" w:cs="Times New Roman"/>
                <w:bCs/>
                <w:i/>
                <w:iCs/>
                <w:color w:val="0D0D0D"/>
                <w:sz w:val="19"/>
                <w:szCs w:val="19"/>
                <w:shd w:val="clear" w:color="auto" w:fill="FCFCF9"/>
              </w:rPr>
            </w:pPr>
            <w:r w:rsidRPr="004E12F5">
              <w:rPr>
                <w:rFonts w:asciiTheme="minorHAnsi" w:eastAsia="Times New Roman" w:hAnsiTheme="minorHAnsi" w:cs="Times New Roman"/>
                <w:bCs/>
                <w:i/>
                <w:iCs/>
                <w:color w:val="0D0D0D"/>
                <w:sz w:val="19"/>
                <w:szCs w:val="19"/>
                <w:shd w:val="clear" w:color="auto" w:fill="FCFCF9"/>
              </w:rPr>
              <w:t>High (Loss of customer trust)</w:t>
            </w:r>
          </w:p>
        </w:tc>
        <w:tc>
          <w:tcPr>
            <w:tcW w:w="1620" w:type="dxa"/>
            <w:tcBorders>
              <w:top w:val="nil"/>
              <w:left w:val="single" w:sz="8" w:space="0" w:color="E3E3E3"/>
              <w:bottom w:val="single" w:sz="8" w:space="0" w:color="E3E3E3"/>
              <w:right w:val="nil"/>
            </w:tcBorders>
            <w:shd w:val="clear" w:color="auto" w:fill="F2F2F2" w:themeFill="background1" w:themeFillShade="F2"/>
            <w:tcMar>
              <w:top w:w="100" w:type="dxa"/>
              <w:left w:w="100" w:type="dxa"/>
              <w:bottom w:w="100" w:type="dxa"/>
              <w:right w:w="100" w:type="dxa"/>
            </w:tcMar>
          </w:tcPr>
          <w:p w14:paraId="70314127" w14:textId="77777777" w:rsidR="00A70719" w:rsidRPr="004E12F5" w:rsidRDefault="004E12F5" w:rsidP="00216D77">
            <w:pPr>
              <w:spacing w:after="0" w:line="411" w:lineRule="auto"/>
              <w:rPr>
                <w:rFonts w:asciiTheme="minorHAnsi" w:eastAsia="Times New Roman" w:hAnsiTheme="minorHAnsi" w:cs="Times New Roman"/>
                <w:bCs/>
                <w:i/>
                <w:iCs/>
                <w:color w:val="0D0D0D"/>
                <w:sz w:val="19"/>
                <w:szCs w:val="19"/>
                <w:shd w:val="clear" w:color="auto" w:fill="FCFCF9"/>
              </w:rPr>
            </w:pPr>
            <w:r w:rsidRPr="004E12F5">
              <w:rPr>
                <w:rFonts w:asciiTheme="minorHAnsi" w:eastAsia="Times New Roman" w:hAnsiTheme="minorHAnsi" w:cs="Times New Roman"/>
                <w:bCs/>
                <w:i/>
                <w:iCs/>
                <w:color w:val="0D0D0D"/>
                <w:sz w:val="19"/>
                <w:szCs w:val="19"/>
                <w:shd w:val="clear" w:color="auto" w:fill="FCFCF9"/>
              </w:rPr>
              <w:t>Yes (Detailed but could improve on specifics of mitigation strategies)</w:t>
            </w:r>
          </w:p>
        </w:tc>
        <w:tc>
          <w:tcPr>
            <w:tcW w:w="1575" w:type="dxa"/>
            <w:tcBorders>
              <w:top w:val="nil"/>
              <w:left w:val="single" w:sz="8" w:space="0" w:color="E3E3E3"/>
              <w:bottom w:val="single" w:sz="8" w:space="0" w:color="E3E3E3"/>
              <w:right w:val="single" w:sz="8" w:space="0" w:color="E3E3E3"/>
            </w:tcBorders>
            <w:shd w:val="clear" w:color="auto" w:fill="F2F2F2" w:themeFill="background1" w:themeFillShade="F2"/>
            <w:tcMar>
              <w:top w:w="100" w:type="dxa"/>
              <w:left w:w="100" w:type="dxa"/>
              <w:bottom w:w="100" w:type="dxa"/>
              <w:right w:w="100" w:type="dxa"/>
            </w:tcMar>
          </w:tcPr>
          <w:p w14:paraId="2C9D6EA1" w14:textId="77777777" w:rsidR="00A70719" w:rsidRPr="004E12F5" w:rsidRDefault="004E12F5" w:rsidP="00216D77">
            <w:pPr>
              <w:spacing w:after="0" w:line="411" w:lineRule="auto"/>
              <w:rPr>
                <w:rFonts w:asciiTheme="minorHAnsi" w:eastAsia="Times New Roman" w:hAnsiTheme="minorHAnsi" w:cs="Times New Roman"/>
                <w:bCs/>
                <w:i/>
                <w:iCs/>
                <w:color w:val="0D0D0D"/>
                <w:sz w:val="19"/>
                <w:szCs w:val="19"/>
                <w:shd w:val="clear" w:color="auto" w:fill="FCFCF9"/>
              </w:rPr>
            </w:pPr>
            <w:r w:rsidRPr="004E12F5">
              <w:rPr>
                <w:rFonts w:asciiTheme="minorHAnsi" w:eastAsia="Times New Roman" w:hAnsiTheme="minorHAnsi" w:cs="Times New Roman"/>
                <w:bCs/>
                <w:i/>
                <w:iCs/>
                <w:color w:val="0D0D0D"/>
                <w:sz w:val="19"/>
                <w:szCs w:val="19"/>
                <w:shd w:val="clear" w:color="auto" w:fill="FCFCF9"/>
              </w:rPr>
              <w:t>Yes (Comprehensive, with room for more regular updates)</w:t>
            </w:r>
          </w:p>
        </w:tc>
      </w:tr>
      <w:tr w:rsidR="00A70719" w:rsidRPr="004E12F5" w14:paraId="2B1D0F13" w14:textId="77777777" w:rsidTr="002C4EAE">
        <w:trPr>
          <w:trHeight w:val="2135"/>
        </w:trPr>
        <w:tc>
          <w:tcPr>
            <w:tcW w:w="1340" w:type="dxa"/>
            <w:tcBorders>
              <w:top w:val="nil"/>
              <w:left w:val="single" w:sz="8" w:space="0" w:color="E3E3E3"/>
              <w:bottom w:val="single" w:sz="8" w:space="0" w:color="E3E3E3"/>
              <w:right w:val="nil"/>
            </w:tcBorders>
            <w:shd w:val="clear" w:color="auto" w:fill="E8E8E8" w:themeFill="background2"/>
            <w:tcMar>
              <w:top w:w="100" w:type="dxa"/>
              <w:left w:w="100" w:type="dxa"/>
              <w:bottom w:w="100" w:type="dxa"/>
              <w:right w:w="100" w:type="dxa"/>
            </w:tcMar>
          </w:tcPr>
          <w:p w14:paraId="453F7D2D" w14:textId="77777777" w:rsidR="00A70719" w:rsidRPr="004E12F5" w:rsidRDefault="004E12F5" w:rsidP="00216D77">
            <w:pPr>
              <w:spacing w:after="0" w:line="411" w:lineRule="auto"/>
              <w:rPr>
                <w:rFonts w:asciiTheme="minorHAnsi" w:eastAsia="Times New Roman" w:hAnsiTheme="minorHAnsi" w:cs="Times New Roman"/>
                <w:b/>
                <w:color w:val="0D0D0D"/>
                <w:sz w:val="19"/>
                <w:szCs w:val="19"/>
                <w:shd w:val="clear" w:color="auto" w:fill="FCFCF9"/>
              </w:rPr>
            </w:pPr>
            <w:r w:rsidRPr="004E12F5">
              <w:rPr>
                <w:rFonts w:asciiTheme="minorHAnsi" w:eastAsia="Times New Roman" w:hAnsiTheme="minorHAnsi" w:cs="Times New Roman"/>
                <w:b/>
                <w:color w:val="0D0D0D"/>
                <w:sz w:val="19"/>
                <w:szCs w:val="19"/>
                <w:shd w:val="clear" w:color="auto" w:fill="FCFCF9"/>
              </w:rPr>
              <w:t xml:space="preserve">Compliance with Regulations and </w:t>
            </w:r>
            <w:r w:rsidRPr="004E12F5">
              <w:rPr>
                <w:rFonts w:asciiTheme="minorHAnsi" w:eastAsia="Times New Roman" w:hAnsiTheme="minorHAnsi" w:cs="Times New Roman"/>
                <w:b/>
                <w:color w:val="0D0D0D"/>
                <w:sz w:val="19"/>
                <w:szCs w:val="19"/>
                <w:shd w:val="clear" w:color="auto" w:fill="FCFCF9"/>
              </w:rPr>
              <w:t>Legal Challenges</w:t>
            </w:r>
          </w:p>
        </w:tc>
        <w:tc>
          <w:tcPr>
            <w:tcW w:w="1180" w:type="dxa"/>
            <w:tcBorders>
              <w:top w:val="nil"/>
              <w:left w:val="single" w:sz="8" w:space="0" w:color="E3E3E3"/>
              <w:bottom w:val="single" w:sz="8" w:space="0" w:color="E3E3E3"/>
              <w:right w:val="nil"/>
            </w:tcBorders>
            <w:shd w:val="clear" w:color="auto" w:fill="F2F2F2" w:themeFill="background1" w:themeFillShade="F2"/>
            <w:tcMar>
              <w:top w:w="100" w:type="dxa"/>
              <w:left w:w="100" w:type="dxa"/>
              <w:bottom w:w="100" w:type="dxa"/>
              <w:right w:w="100" w:type="dxa"/>
            </w:tcMar>
          </w:tcPr>
          <w:p w14:paraId="2FB1F619" w14:textId="77777777" w:rsidR="00A70719" w:rsidRPr="004E12F5" w:rsidRDefault="004E12F5" w:rsidP="00216D77">
            <w:pPr>
              <w:spacing w:after="0" w:line="411" w:lineRule="auto"/>
              <w:rPr>
                <w:rFonts w:asciiTheme="minorHAnsi" w:eastAsia="Times New Roman" w:hAnsiTheme="minorHAnsi" w:cs="Times New Roman"/>
                <w:bCs/>
                <w:i/>
                <w:iCs/>
                <w:color w:val="0D0D0D"/>
                <w:sz w:val="19"/>
                <w:szCs w:val="19"/>
                <w:shd w:val="clear" w:color="auto" w:fill="FCFCF9"/>
              </w:rPr>
            </w:pPr>
            <w:r w:rsidRPr="004E12F5">
              <w:rPr>
                <w:rFonts w:asciiTheme="minorHAnsi" w:eastAsia="Times New Roman" w:hAnsiTheme="minorHAnsi" w:cs="Times New Roman"/>
                <w:bCs/>
                <w:i/>
                <w:iCs/>
                <w:color w:val="0D0D0D"/>
                <w:sz w:val="19"/>
                <w:szCs w:val="19"/>
                <w:shd w:val="clear" w:color="auto" w:fill="FCFCF9"/>
              </w:rPr>
              <w:t>High</w:t>
            </w:r>
          </w:p>
        </w:tc>
        <w:tc>
          <w:tcPr>
            <w:tcW w:w="1245" w:type="dxa"/>
            <w:tcBorders>
              <w:top w:val="nil"/>
              <w:left w:val="single" w:sz="8" w:space="0" w:color="E3E3E3"/>
              <w:bottom w:val="single" w:sz="8" w:space="0" w:color="E3E3E3"/>
              <w:right w:val="nil"/>
            </w:tcBorders>
            <w:shd w:val="clear" w:color="auto" w:fill="F2F2F2" w:themeFill="background1" w:themeFillShade="F2"/>
            <w:tcMar>
              <w:top w:w="100" w:type="dxa"/>
              <w:left w:w="100" w:type="dxa"/>
              <w:bottom w:w="100" w:type="dxa"/>
              <w:right w:w="100" w:type="dxa"/>
            </w:tcMar>
          </w:tcPr>
          <w:p w14:paraId="593AF340" w14:textId="77777777" w:rsidR="00A70719" w:rsidRPr="004E12F5" w:rsidRDefault="004E12F5" w:rsidP="00216D77">
            <w:pPr>
              <w:spacing w:after="0" w:line="411" w:lineRule="auto"/>
              <w:rPr>
                <w:rFonts w:asciiTheme="minorHAnsi" w:eastAsia="Times New Roman" w:hAnsiTheme="minorHAnsi" w:cs="Times New Roman"/>
                <w:bCs/>
                <w:i/>
                <w:iCs/>
                <w:color w:val="0D0D0D"/>
                <w:sz w:val="19"/>
                <w:szCs w:val="19"/>
                <w:shd w:val="clear" w:color="auto" w:fill="FCFCF9"/>
              </w:rPr>
            </w:pPr>
            <w:r w:rsidRPr="004E12F5">
              <w:rPr>
                <w:rFonts w:asciiTheme="minorHAnsi" w:eastAsia="Times New Roman" w:hAnsiTheme="minorHAnsi" w:cs="Times New Roman"/>
                <w:bCs/>
                <w:i/>
                <w:iCs/>
                <w:color w:val="0D0D0D"/>
                <w:sz w:val="19"/>
                <w:szCs w:val="19"/>
                <w:shd w:val="clear" w:color="auto" w:fill="FCFCF9"/>
              </w:rPr>
              <w:t>High</w:t>
            </w:r>
          </w:p>
        </w:tc>
        <w:tc>
          <w:tcPr>
            <w:tcW w:w="1440" w:type="dxa"/>
            <w:tcBorders>
              <w:top w:val="nil"/>
              <w:left w:val="single" w:sz="8" w:space="0" w:color="E3E3E3"/>
              <w:bottom w:val="single" w:sz="8" w:space="0" w:color="E3E3E3"/>
              <w:right w:val="nil"/>
            </w:tcBorders>
            <w:shd w:val="clear" w:color="auto" w:fill="F2F2F2" w:themeFill="background1" w:themeFillShade="F2"/>
            <w:tcMar>
              <w:top w:w="100" w:type="dxa"/>
              <w:left w:w="100" w:type="dxa"/>
              <w:bottom w:w="100" w:type="dxa"/>
              <w:right w:w="100" w:type="dxa"/>
            </w:tcMar>
          </w:tcPr>
          <w:p w14:paraId="4592B3BE" w14:textId="77777777" w:rsidR="00A70719" w:rsidRPr="004E12F5" w:rsidRDefault="004E12F5" w:rsidP="00216D77">
            <w:pPr>
              <w:spacing w:after="0" w:line="411" w:lineRule="auto"/>
              <w:rPr>
                <w:rFonts w:asciiTheme="minorHAnsi" w:eastAsia="Times New Roman" w:hAnsiTheme="minorHAnsi" w:cs="Times New Roman"/>
                <w:bCs/>
                <w:i/>
                <w:iCs/>
                <w:color w:val="0D0D0D"/>
                <w:sz w:val="19"/>
                <w:szCs w:val="19"/>
                <w:shd w:val="clear" w:color="auto" w:fill="FCFCF9"/>
              </w:rPr>
            </w:pPr>
            <w:r w:rsidRPr="004E12F5">
              <w:rPr>
                <w:rFonts w:asciiTheme="minorHAnsi" w:eastAsia="Times New Roman" w:hAnsiTheme="minorHAnsi" w:cs="Times New Roman"/>
                <w:bCs/>
                <w:i/>
                <w:iCs/>
                <w:color w:val="0D0D0D"/>
                <w:sz w:val="19"/>
                <w:szCs w:val="19"/>
                <w:shd w:val="clear" w:color="auto" w:fill="FCFCF9"/>
              </w:rPr>
              <w:t>High (Fines, legal costs)</w:t>
            </w:r>
          </w:p>
        </w:tc>
        <w:tc>
          <w:tcPr>
            <w:tcW w:w="1320" w:type="dxa"/>
            <w:tcBorders>
              <w:top w:val="nil"/>
              <w:left w:val="single" w:sz="8" w:space="0" w:color="E3E3E3"/>
              <w:bottom w:val="single" w:sz="8" w:space="0" w:color="E3E3E3"/>
              <w:right w:val="nil"/>
            </w:tcBorders>
            <w:shd w:val="clear" w:color="auto" w:fill="F2F2F2" w:themeFill="background1" w:themeFillShade="F2"/>
            <w:tcMar>
              <w:top w:w="100" w:type="dxa"/>
              <w:left w:w="100" w:type="dxa"/>
              <w:bottom w:w="100" w:type="dxa"/>
              <w:right w:w="100" w:type="dxa"/>
            </w:tcMar>
          </w:tcPr>
          <w:p w14:paraId="28066388" w14:textId="77777777" w:rsidR="00A70719" w:rsidRPr="004E12F5" w:rsidRDefault="004E12F5" w:rsidP="00216D77">
            <w:pPr>
              <w:spacing w:after="0" w:line="411" w:lineRule="auto"/>
              <w:rPr>
                <w:rFonts w:asciiTheme="minorHAnsi" w:eastAsia="Times New Roman" w:hAnsiTheme="minorHAnsi" w:cs="Times New Roman"/>
                <w:bCs/>
                <w:i/>
                <w:iCs/>
                <w:color w:val="0D0D0D"/>
                <w:sz w:val="19"/>
                <w:szCs w:val="19"/>
                <w:shd w:val="clear" w:color="auto" w:fill="FCFCF9"/>
              </w:rPr>
            </w:pPr>
            <w:r w:rsidRPr="004E12F5">
              <w:rPr>
                <w:rFonts w:asciiTheme="minorHAnsi" w:eastAsia="Times New Roman" w:hAnsiTheme="minorHAnsi" w:cs="Times New Roman"/>
                <w:bCs/>
                <w:i/>
                <w:iCs/>
                <w:color w:val="0D0D0D"/>
                <w:sz w:val="19"/>
                <w:szCs w:val="19"/>
                <w:shd w:val="clear" w:color="auto" w:fill="FCFCF9"/>
              </w:rPr>
              <w:t>High (Regulatory scrutiny)</w:t>
            </w:r>
          </w:p>
        </w:tc>
        <w:tc>
          <w:tcPr>
            <w:tcW w:w="1620" w:type="dxa"/>
            <w:tcBorders>
              <w:top w:val="nil"/>
              <w:left w:val="single" w:sz="8" w:space="0" w:color="E3E3E3"/>
              <w:bottom w:val="single" w:sz="8" w:space="0" w:color="E3E3E3"/>
              <w:right w:val="nil"/>
            </w:tcBorders>
            <w:shd w:val="clear" w:color="auto" w:fill="F2F2F2" w:themeFill="background1" w:themeFillShade="F2"/>
            <w:tcMar>
              <w:top w:w="100" w:type="dxa"/>
              <w:left w:w="100" w:type="dxa"/>
              <w:bottom w:w="100" w:type="dxa"/>
              <w:right w:w="100" w:type="dxa"/>
            </w:tcMar>
          </w:tcPr>
          <w:p w14:paraId="18251447" w14:textId="77777777" w:rsidR="00A70719" w:rsidRPr="004E12F5" w:rsidRDefault="004E12F5" w:rsidP="00216D77">
            <w:pPr>
              <w:spacing w:after="0" w:line="411" w:lineRule="auto"/>
              <w:rPr>
                <w:rFonts w:asciiTheme="minorHAnsi" w:eastAsia="Times New Roman" w:hAnsiTheme="minorHAnsi" w:cs="Times New Roman"/>
                <w:bCs/>
                <w:i/>
                <w:iCs/>
                <w:color w:val="0D0D0D"/>
                <w:sz w:val="19"/>
                <w:szCs w:val="19"/>
                <w:shd w:val="clear" w:color="auto" w:fill="FCFCF9"/>
              </w:rPr>
            </w:pPr>
            <w:r w:rsidRPr="004E12F5">
              <w:rPr>
                <w:rFonts w:asciiTheme="minorHAnsi" w:eastAsia="Times New Roman" w:hAnsiTheme="minorHAnsi" w:cs="Times New Roman"/>
                <w:bCs/>
                <w:i/>
                <w:iCs/>
                <w:color w:val="0D0D0D"/>
                <w:sz w:val="19"/>
                <w:szCs w:val="19"/>
                <w:shd w:val="clear" w:color="auto" w:fill="FCFCF9"/>
              </w:rPr>
              <w:t>Yes (Well-communicated, needs more on emerging regulations)</w:t>
            </w:r>
          </w:p>
        </w:tc>
        <w:tc>
          <w:tcPr>
            <w:tcW w:w="1575" w:type="dxa"/>
            <w:tcBorders>
              <w:top w:val="nil"/>
              <w:left w:val="single" w:sz="8" w:space="0" w:color="E3E3E3"/>
              <w:bottom w:val="single" w:sz="8" w:space="0" w:color="E3E3E3"/>
              <w:right w:val="single" w:sz="8" w:space="0" w:color="E3E3E3"/>
            </w:tcBorders>
            <w:shd w:val="clear" w:color="auto" w:fill="F2F2F2" w:themeFill="background1" w:themeFillShade="F2"/>
            <w:tcMar>
              <w:top w:w="100" w:type="dxa"/>
              <w:left w:w="100" w:type="dxa"/>
              <w:bottom w:w="100" w:type="dxa"/>
              <w:right w:w="100" w:type="dxa"/>
            </w:tcMar>
          </w:tcPr>
          <w:p w14:paraId="6187A04A" w14:textId="77777777" w:rsidR="00A70719" w:rsidRPr="004E12F5" w:rsidRDefault="004E12F5" w:rsidP="00216D77">
            <w:pPr>
              <w:spacing w:after="0" w:line="411" w:lineRule="auto"/>
              <w:rPr>
                <w:rFonts w:asciiTheme="minorHAnsi" w:eastAsia="Times New Roman" w:hAnsiTheme="minorHAnsi" w:cs="Times New Roman"/>
                <w:bCs/>
                <w:i/>
                <w:iCs/>
                <w:color w:val="0D0D0D"/>
                <w:sz w:val="19"/>
                <w:szCs w:val="19"/>
                <w:shd w:val="clear" w:color="auto" w:fill="FCFCF9"/>
              </w:rPr>
            </w:pPr>
            <w:r w:rsidRPr="004E12F5">
              <w:rPr>
                <w:rFonts w:asciiTheme="minorHAnsi" w:eastAsia="Times New Roman" w:hAnsiTheme="minorHAnsi" w:cs="Times New Roman"/>
                <w:bCs/>
                <w:i/>
                <w:iCs/>
                <w:color w:val="0D0D0D"/>
                <w:sz w:val="19"/>
                <w:szCs w:val="19"/>
                <w:shd w:val="clear" w:color="auto" w:fill="FCFCF9"/>
              </w:rPr>
              <w:t>Yes (Clear could benefit from detailing engagement with regulators)</w:t>
            </w:r>
          </w:p>
        </w:tc>
      </w:tr>
      <w:tr w:rsidR="00A70719" w:rsidRPr="004E12F5" w14:paraId="30C3A139" w14:textId="77777777" w:rsidTr="002C4EAE">
        <w:trPr>
          <w:trHeight w:val="2495"/>
        </w:trPr>
        <w:tc>
          <w:tcPr>
            <w:tcW w:w="1340" w:type="dxa"/>
            <w:tcBorders>
              <w:top w:val="nil"/>
              <w:left w:val="single" w:sz="8" w:space="0" w:color="E3E3E3"/>
              <w:bottom w:val="single" w:sz="8" w:space="0" w:color="E3E3E3"/>
              <w:right w:val="nil"/>
            </w:tcBorders>
            <w:shd w:val="clear" w:color="auto" w:fill="E8E8E8" w:themeFill="background2"/>
            <w:tcMar>
              <w:top w:w="100" w:type="dxa"/>
              <w:left w:w="100" w:type="dxa"/>
              <w:bottom w:w="100" w:type="dxa"/>
              <w:right w:w="100" w:type="dxa"/>
            </w:tcMar>
          </w:tcPr>
          <w:p w14:paraId="14D81DBA" w14:textId="77777777" w:rsidR="00A70719" w:rsidRPr="004E12F5" w:rsidRDefault="004E12F5" w:rsidP="00216D77">
            <w:pPr>
              <w:spacing w:after="0" w:line="411" w:lineRule="auto"/>
              <w:rPr>
                <w:rFonts w:asciiTheme="minorHAnsi" w:eastAsia="Times New Roman" w:hAnsiTheme="minorHAnsi" w:cs="Times New Roman"/>
                <w:b/>
                <w:color w:val="0D0D0D"/>
                <w:sz w:val="19"/>
                <w:szCs w:val="19"/>
                <w:shd w:val="clear" w:color="auto" w:fill="FCFCF9"/>
              </w:rPr>
            </w:pPr>
            <w:r w:rsidRPr="004E12F5">
              <w:rPr>
                <w:rFonts w:asciiTheme="minorHAnsi" w:eastAsia="Times New Roman" w:hAnsiTheme="minorHAnsi" w:cs="Times New Roman"/>
                <w:b/>
                <w:color w:val="0D0D0D"/>
                <w:sz w:val="19"/>
                <w:szCs w:val="19"/>
                <w:shd w:val="clear" w:color="auto" w:fill="FCFCF9"/>
              </w:rPr>
              <w:t>Financial and Credit Risks</w:t>
            </w:r>
          </w:p>
        </w:tc>
        <w:tc>
          <w:tcPr>
            <w:tcW w:w="1180" w:type="dxa"/>
            <w:tcBorders>
              <w:top w:val="nil"/>
              <w:left w:val="single" w:sz="8" w:space="0" w:color="E3E3E3"/>
              <w:bottom w:val="single" w:sz="8" w:space="0" w:color="E3E3E3"/>
              <w:right w:val="nil"/>
            </w:tcBorders>
            <w:shd w:val="clear" w:color="auto" w:fill="F2F2F2" w:themeFill="background1" w:themeFillShade="F2"/>
            <w:tcMar>
              <w:top w:w="100" w:type="dxa"/>
              <w:left w:w="100" w:type="dxa"/>
              <w:bottom w:w="100" w:type="dxa"/>
              <w:right w:w="100" w:type="dxa"/>
            </w:tcMar>
          </w:tcPr>
          <w:p w14:paraId="41F92989" w14:textId="77777777" w:rsidR="00A70719" w:rsidRPr="004E12F5" w:rsidRDefault="004E12F5" w:rsidP="00216D77">
            <w:pPr>
              <w:spacing w:after="0" w:line="411" w:lineRule="auto"/>
              <w:rPr>
                <w:rFonts w:asciiTheme="minorHAnsi" w:eastAsia="Times New Roman" w:hAnsiTheme="minorHAnsi" w:cs="Times New Roman"/>
                <w:bCs/>
                <w:i/>
                <w:iCs/>
                <w:color w:val="0D0D0D"/>
                <w:sz w:val="19"/>
                <w:szCs w:val="19"/>
                <w:shd w:val="clear" w:color="auto" w:fill="FCFCF9"/>
              </w:rPr>
            </w:pPr>
            <w:r w:rsidRPr="004E12F5">
              <w:rPr>
                <w:rFonts w:asciiTheme="minorHAnsi" w:eastAsia="Times New Roman" w:hAnsiTheme="minorHAnsi" w:cs="Times New Roman"/>
                <w:bCs/>
                <w:i/>
                <w:iCs/>
                <w:color w:val="0D0D0D"/>
                <w:sz w:val="19"/>
                <w:szCs w:val="19"/>
                <w:shd w:val="clear" w:color="auto" w:fill="FCFCF9"/>
              </w:rPr>
              <w:t>High</w:t>
            </w:r>
          </w:p>
        </w:tc>
        <w:tc>
          <w:tcPr>
            <w:tcW w:w="1245" w:type="dxa"/>
            <w:tcBorders>
              <w:top w:val="nil"/>
              <w:left w:val="single" w:sz="8" w:space="0" w:color="E3E3E3"/>
              <w:bottom w:val="single" w:sz="8" w:space="0" w:color="E3E3E3"/>
              <w:right w:val="nil"/>
            </w:tcBorders>
            <w:shd w:val="clear" w:color="auto" w:fill="F2F2F2" w:themeFill="background1" w:themeFillShade="F2"/>
            <w:tcMar>
              <w:top w:w="100" w:type="dxa"/>
              <w:left w:w="100" w:type="dxa"/>
              <w:bottom w:w="100" w:type="dxa"/>
              <w:right w:w="100" w:type="dxa"/>
            </w:tcMar>
          </w:tcPr>
          <w:p w14:paraId="0EBB32C2" w14:textId="77777777" w:rsidR="00A70719" w:rsidRPr="004E12F5" w:rsidRDefault="004E12F5" w:rsidP="00216D77">
            <w:pPr>
              <w:spacing w:after="0" w:line="411" w:lineRule="auto"/>
              <w:rPr>
                <w:rFonts w:asciiTheme="minorHAnsi" w:eastAsia="Times New Roman" w:hAnsiTheme="minorHAnsi" w:cs="Times New Roman"/>
                <w:bCs/>
                <w:i/>
                <w:iCs/>
                <w:color w:val="0D0D0D"/>
                <w:sz w:val="19"/>
                <w:szCs w:val="19"/>
                <w:shd w:val="clear" w:color="auto" w:fill="FCFCF9"/>
              </w:rPr>
            </w:pPr>
            <w:r w:rsidRPr="004E12F5">
              <w:rPr>
                <w:rFonts w:asciiTheme="minorHAnsi" w:eastAsia="Times New Roman" w:hAnsiTheme="minorHAnsi" w:cs="Times New Roman"/>
                <w:bCs/>
                <w:i/>
                <w:iCs/>
                <w:color w:val="0D0D0D"/>
                <w:sz w:val="19"/>
                <w:szCs w:val="19"/>
                <w:shd w:val="clear" w:color="auto" w:fill="FCFCF9"/>
              </w:rPr>
              <w:t>High</w:t>
            </w:r>
          </w:p>
        </w:tc>
        <w:tc>
          <w:tcPr>
            <w:tcW w:w="1440" w:type="dxa"/>
            <w:tcBorders>
              <w:top w:val="nil"/>
              <w:left w:val="single" w:sz="8" w:space="0" w:color="E3E3E3"/>
              <w:bottom w:val="single" w:sz="8" w:space="0" w:color="E3E3E3"/>
              <w:right w:val="nil"/>
            </w:tcBorders>
            <w:shd w:val="clear" w:color="auto" w:fill="F2F2F2" w:themeFill="background1" w:themeFillShade="F2"/>
            <w:tcMar>
              <w:top w:w="100" w:type="dxa"/>
              <w:left w:w="100" w:type="dxa"/>
              <w:bottom w:w="100" w:type="dxa"/>
              <w:right w:w="100" w:type="dxa"/>
            </w:tcMar>
          </w:tcPr>
          <w:p w14:paraId="3E96E29E" w14:textId="77777777" w:rsidR="00A70719" w:rsidRPr="004E12F5" w:rsidRDefault="004E12F5" w:rsidP="00216D77">
            <w:pPr>
              <w:spacing w:after="0" w:line="411" w:lineRule="auto"/>
              <w:rPr>
                <w:rFonts w:asciiTheme="minorHAnsi" w:eastAsia="Times New Roman" w:hAnsiTheme="minorHAnsi" w:cs="Times New Roman"/>
                <w:bCs/>
                <w:i/>
                <w:iCs/>
                <w:color w:val="0D0D0D"/>
                <w:sz w:val="19"/>
                <w:szCs w:val="19"/>
                <w:shd w:val="clear" w:color="auto" w:fill="FCFCF9"/>
              </w:rPr>
            </w:pPr>
            <w:r w:rsidRPr="004E12F5">
              <w:rPr>
                <w:rFonts w:asciiTheme="minorHAnsi" w:eastAsia="Times New Roman" w:hAnsiTheme="minorHAnsi" w:cs="Times New Roman"/>
                <w:bCs/>
                <w:i/>
                <w:iCs/>
                <w:color w:val="0D0D0D"/>
                <w:sz w:val="19"/>
                <w:szCs w:val="19"/>
                <w:shd w:val="clear" w:color="auto" w:fill="FCFCF9"/>
              </w:rPr>
              <w:t xml:space="preserve">High </w:t>
            </w:r>
            <w:r w:rsidRPr="004E12F5">
              <w:rPr>
                <w:rFonts w:asciiTheme="minorHAnsi" w:eastAsia="Times New Roman" w:hAnsiTheme="minorHAnsi" w:cs="Times New Roman"/>
                <w:bCs/>
                <w:i/>
                <w:iCs/>
                <w:color w:val="0D0D0D"/>
                <w:sz w:val="19"/>
                <w:szCs w:val="19"/>
                <w:shd w:val="clear" w:color="auto" w:fill="FCFCF9"/>
              </w:rPr>
              <w:t>(Impact on liquidity and creditworthiness)</w:t>
            </w:r>
          </w:p>
        </w:tc>
        <w:tc>
          <w:tcPr>
            <w:tcW w:w="1320" w:type="dxa"/>
            <w:tcBorders>
              <w:top w:val="nil"/>
              <w:left w:val="single" w:sz="8" w:space="0" w:color="E3E3E3"/>
              <w:bottom w:val="single" w:sz="8" w:space="0" w:color="E3E3E3"/>
              <w:right w:val="nil"/>
            </w:tcBorders>
            <w:shd w:val="clear" w:color="auto" w:fill="F2F2F2" w:themeFill="background1" w:themeFillShade="F2"/>
            <w:tcMar>
              <w:top w:w="100" w:type="dxa"/>
              <w:left w:w="100" w:type="dxa"/>
              <w:bottom w:w="100" w:type="dxa"/>
              <w:right w:w="100" w:type="dxa"/>
            </w:tcMar>
          </w:tcPr>
          <w:p w14:paraId="3D808C55" w14:textId="77777777" w:rsidR="00A70719" w:rsidRPr="004E12F5" w:rsidRDefault="004E12F5" w:rsidP="00216D77">
            <w:pPr>
              <w:spacing w:after="0" w:line="411" w:lineRule="auto"/>
              <w:rPr>
                <w:rFonts w:asciiTheme="minorHAnsi" w:eastAsia="Times New Roman" w:hAnsiTheme="minorHAnsi" w:cs="Times New Roman"/>
                <w:bCs/>
                <w:i/>
                <w:iCs/>
                <w:color w:val="0D0D0D"/>
                <w:sz w:val="19"/>
                <w:szCs w:val="19"/>
                <w:shd w:val="clear" w:color="auto" w:fill="FCFCF9"/>
              </w:rPr>
            </w:pPr>
            <w:r w:rsidRPr="004E12F5">
              <w:rPr>
                <w:rFonts w:asciiTheme="minorHAnsi" w:eastAsia="Times New Roman" w:hAnsiTheme="minorHAnsi" w:cs="Times New Roman"/>
                <w:bCs/>
                <w:i/>
                <w:iCs/>
                <w:color w:val="0D0D0D"/>
                <w:sz w:val="19"/>
                <w:szCs w:val="19"/>
                <w:shd w:val="clear" w:color="auto" w:fill="FCFCF9"/>
              </w:rPr>
              <w:t>Medium (Indirect, through financial health perception)</w:t>
            </w:r>
          </w:p>
        </w:tc>
        <w:tc>
          <w:tcPr>
            <w:tcW w:w="1620" w:type="dxa"/>
            <w:tcBorders>
              <w:top w:val="nil"/>
              <w:left w:val="single" w:sz="8" w:space="0" w:color="E3E3E3"/>
              <w:bottom w:val="single" w:sz="8" w:space="0" w:color="E3E3E3"/>
              <w:right w:val="nil"/>
            </w:tcBorders>
            <w:shd w:val="clear" w:color="auto" w:fill="F2F2F2" w:themeFill="background1" w:themeFillShade="F2"/>
            <w:tcMar>
              <w:top w:w="100" w:type="dxa"/>
              <w:left w:w="100" w:type="dxa"/>
              <w:bottom w:w="100" w:type="dxa"/>
              <w:right w:w="100" w:type="dxa"/>
            </w:tcMar>
          </w:tcPr>
          <w:p w14:paraId="079476EB" w14:textId="77777777" w:rsidR="00A70719" w:rsidRPr="004E12F5" w:rsidRDefault="004E12F5" w:rsidP="00216D77">
            <w:pPr>
              <w:spacing w:after="0" w:line="411" w:lineRule="auto"/>
              <w:rPr>
                <w:rFonts w:asciiTheme="minorHAnsi" w:eastAsia="Times New Roman" w:hAnsiTheme="minorHAnsi" w:cs="Times New Roman"/>
                <w:bCs/>
                <w:i/>
                <w:iCs/>
                <w:color w:val="0D0D0D"/>
                <w:sz w:val="19"/>
                <w:szCs w:val="19"/>
                <w:shd w:val="clear" w:color="auto" w:fill="FCFCF9"/>
              </w:rPr>
            </w:pPr>
            <w:r w:rsidRPr="004E12F5">
              <w:rPr>
                <w:rFonts w:asciiTheme="minorHAnsi" w:eastAsia="Times New Roman" w:hAnsiTheme="minorHAnsi" w:cs="Times New Roman"/>
                <w:bCs/>
                <w:i/>
                <w:iCs/>
                <w:color w:val="0D0D0D"/>
                <w:sz w:val="19"/>
                <w:szCs w:val="19"/>
                <w:shd w:val="clear" w:color="auto" w:fill="FCFCF9"/>
              </w:rPr>
              <w:t>Partially (Discusses impacts, but lacks detail on proactive management)</w:t>
            </w:r>
          </w:p>
        </w:tc>
        <w:tc>
          <w:tcPr>
            <w:tcW w:w="1575" w:type="dxa"/>
            <w:tcBorders>
              <w:top w:val="nil"/>
              <w:left w:val="single" w:sz="8" w:space="0" w:color="E3E3E3"/>
              <w:bottom w:val="single" w:sz="8" w:space="0" w:color="E3E3E3"/>
              <w:right w:val="single" w:sz="8" w:space="0" w:color="E3E3E3"/>
            </w:tcBorders>
            <w:shd w:val="clear" w:color="auto" w:fill="F2F2F2" w:themeFill="background1" w:themeFillShade="F2"/>
            <w:tcMar>
              <w:top w:w="100" w:type="dxa"/>
              <w:left w:w="100" w:type="dxa"/>
              <w:bottom w:w="100" w:type="dxa"/>
              <w:right w:w="100" w:type="dxa"/>
            </w:tcMar>
          </w:tcPr>
          <w:p w14:paraId="65A2C745" w14:textId="77777777" w:rsidR="00A70719" w:rsidRPr="004E12F5" w:rsidRDefault="004E12F5" w:rsidP="00216D77">
            <w:pPr>
              <w:spacing w:after="0" w:line="411" w:lineRule="auto"/>
              <w:rPr>
                <w:rFonts w:asciiTheme="minorHAnsi" w:eastAsia="Times New Roman" w:hAnsiTheme="minorHAnsi" w:cs="Times New Roman"/>
                <w:bCs/>
                <w:i/>
                <w:iCs/>
                <w:color w:val="0D0D0D"/>
                <w:sz w:val="19"/>
                <w:szCs w:val="19"/>
                <w:shd w:val="clear" w:color="auto" w:fill="FCFCF9"/>
              </w:rPr>
            </w:pPr>
            <w:r w:rsidRPr="004E12F5">
              <w:rPr>
                <w:rFonts w:asciiTheme="minorHAnsi" w:eastAsia="Times New Roman" w:hAnsiTheme="minorHAnsi" w:cs="Times New Roman"/>
                <w:bCs/>
                <w:i/>
                <w:iCs/>
                <w:color w:val="0D0D0D"/>
                <w:sz w:val="19"/>
                <w:szCs w:val="19"/>
                <w:shd w:val="clear" w:color="auto" w:fill="FCFCF9"/>
              </w:rPr>
              <w:t>Yes (Addresses risks, could detail specific financial health strategies)</w:t>
            </w:r>
          </w:p>
        </w:tc>
      </w:tr>
      <w:tr w:rsidR="00A70719" w:rsidRPr="004E12F5" w14:paraId="2A747797" w14:textId="77777777" w:rsidTr="002C4EAE">
        <w:trPr>
          <w:trHeight w:val="2495"/>
        </w:trPr>
        <w:tc>
          <w:tcPr>
            <w:tcW w:w="1340" w:type="dxa"/>
            <w:tcBorders>
              <w:top w:val="nil"/>
              <w:left w:val="single" w:sz="8" w:space="0" w:color="E3E3E3"/>
              <w:bottom w:val="single" w:sz="8" w:space="0" w:color="E3E3E3"/>
              <w:right w:val="nil"/>
            </w:tcBorders>
            <w:shd w:val="clear" w:color="auto" w:fill="E8E8E8" w:themeFill="background2"/>
            <w:tcMar>
              <w:top w:w="100" w:type="dxa"/>
              <w:left w:w="100" w:type="dxa"/>
              <w:bottom w:w="100" w:type="dxa"/>
              <w:right w:w="100" w:type="dxa"/>
            </w:tcMar>
          </w:tcPr>
          <w:p w14:paraId="5C0CC48C" w14:textId="77777777" w:rsidR="00A70719" w:rsidRPr="004E12F5" w:rsidRDefault="004E12F5" w:rsidP="00216D77">
            <w:pPr>
              <w:spacing w:after="0" w:line="411" w:lineRule="auto"/>
              <w:rPr>
                <w:rFonts w:asciiTheme="minorHAnsi" w:eastAsia="Times New Roman" w:hAnsiTheme="minorHAnsi" w:cs="Times New Roman"/>
                <w:b/>
                <w:color w:val="0D0D0D"/>
                <w:sz w:val="19"/>
                <w:szCs w:val="19"/>
                <w:shd w:val="clear" w:color="auto" w:fill="FCFCF9"/>
              </w:rPr>
            </w:pPr>
            <w:r w:rsidRPr="004E12F5">
              <w:rPr>
                <w:rFonts w:asciiTheme="minorHAnsi" w:eastAsia="Times New Roman" w:hAnsiTheme="minorHAnsi" w:cs="Times New Roman"/>
                <w:b/>
                <w:color w:val="0D0D0D"/>
                <w:sz w:val="19"/>
                <w:szCs w:val="19"/>
                <w:shd w:val="clear" w:color="auto" w:fill="FCFCF9"/>
              </w:rPr>
              <w:t xml:space="preserve">Market </w:t>
            </w:r>
            <w:r w:rsidRPr="004E12F5">
              <w:rPr>
                <w:rFonts w:asciiTheme="minorHAnsi" w:eastAsia="Times New Roman" w:hAnsiTheme="minorHAnsi" w:cs="Times New Roman"/>
                <w:b/>
                <w:color w:val="0D0D0D"/>
                <w:sz w:val="19"/>
                <w:szCs w:val="19"/>
                <w:shd w:val="clear" w:color="auto" w:fill="FCFCF9"/>
              </w:rPr>
              <w:t>and Operational Risks</w:t>
            </w:r>
          </w:p>
        </w:tc>
        <w:tc>
          <w:tcPr>
            <w:tcW w:w="1180" w:type="dxa"/>
            <w:tcBorders>
              <w:top w:val="nil"/>
              <w:left w:val="single" w:sz="8" w:space="0" w:color="E3E3E3"/>
              <w:bottom w:val="single" w:sz="8" w:space="0" w:color="E3E3E3"/>
              <w:right w:val="nil"/>
            </w:tcBorders>
            <w:shd w:val="clear" w:color="auto" w:fill="F2F2F2" w:themeFill="background1" w:themeFillShade="F2"/>
            <w:tcMar>
              <w:top w:w="100" w:type="dxa"/>
              <w:left w:w="100" w:type="dxa"/>
              <w:bottom w:w="100" w:type="dxa"/>
              <w:right w:w="100" w:type="dxa"/>
            </w:tcMar>
          </w:tcPr>
          <w:p w14:paraId="70DD1B94" w14:textId="77777777" w:rsidR="00A70719" w:rsidRPr="004E12F5" w:rsidRDefault="004E12F5" w:rsidP="00216D77">
            <w:pPr>
              <w:spacing w:after="0" w:line="411" w:lineRule="auto"/>
              <w:rPr>
                <w:rFonts w:asciiTheme="minorHAnsi" w:eastAsia="Times New Roman" w:hAnsiTheme="minorHAnsi" w:cs="Times New Roman"/>
                <w:bCs/>
                <w:i/>
                <w:iCs/>
                <w:color w:val="0D0D0D"/>
                <w:sz w:val="19"/>
                <w:szCs w:val="19"/>
                <w:shd w:val="clear" w:color="auto" w:fill="FCFCF9"/>
              </w:rPr>
            </w:pPr>
            <w:r w:rsidRPr="004E12F5">
              <w:rPr>
                <w:rFonts w:asciiTheme="minorHAnsi" w:eastAsia="Times New Roman" w:hAnsiTheme="minorHAnsi" w:cs="Times New Roman"/>
                <w:bCs/>
                <w:i/>
                <w:iCs/>
                <w:color w:val="0D0D0D"/>
                <w:sz w:val="19"/>
                <w:szCs w:val="19"/>
                <w:shd w:val="clear" w:color="auto" w:fill="FCFCF9"/>
              </w:rPr>
              <w:t>Medium</w:t>
            </w:r>
          </w:p>
        </w:tc>
        <w:tc>
          <w:tcPr>
            <w:tcW w:w="1245" w:type="dxa"/>
            <w:tcBorders>
              <w:top w:val="nil"/>
              <w:left w:val="single" w:sz="8" w:space="0" w:color="E3E3E3"/>
              <w:bottom w:val="single" w:sz="8" w:space="0" w:color="E3E3E3"/>
              <w:right w:val="nil"/>
            </w:tcBorders>
            <w:shd w:val="clear" w:color="auto" w:fill="F2F2F2" w:themeFill="background1" w:themeFillShade="F2"/>
            <w:tcMar>
              <w:top w:w="100" w:type="dxa"/>
              <w:left w:w="100" w:type="dxa"/>
              <w:bottom w:w="100" w:type="dxa"/>
              <w:right w:w="100" w:type="dxa"/>
            </w:tcMar>
          </w:tcPr>
          <w:p w14:paraId="6D77EC1B" w14:textId="77777777" w:rsidR="00A70719" w:rsidRPr="004E12F5" w:rsidRDefault="004E12F5" w:rsidP="00216D77">
            <w:pPr>
              <w:spacing w:after="0" w:line="411" w:lineRule="auto"/>
              <w:rPr>
                <w:rFonts w:asciiTheme="minorHAnsi" w:eastAsia="Times New Roman" w:hAnsiTheme="minorHAnsi" w:cs="Times New Roman"/>
                <w:bCs/>
                <w:i/>
                <w:iCs/>
                <w:color w:val="0D0D0D"/>
                <w:sz w:val="19"/>
                <w:szCs w:val="19"/>
                <w:shd w:val="clear" w:color="auto" w:fill="FCFCF9"/>
              </w:rPr>
            </w:pPr>
            <w:r w:rsidRPr="004E12F5">
              <w:rPr>
                <w:rFonts w:asciiTheme="minorHAnsi" w:eastAsia="Times New Roman" w:hAnsiTheme="minorHAnsi" w:cs="Times New Roman"/>
                <w:bCs/>
                <w:i/>
                <w:iCs/>
                <w:color w:val="0D0D0D"/>
                <w:sz w:val="19"/>
                <w:szCs w:val="19"/>
                <w:shd w:val="clear" w:color="auto" w:fill="FCFCF9"/>
              </w:rPr>
              <w:t>High</w:t>
            </w:r>
          </w:p>
        </w:tc>
        <w:tc>
          <w:tcPr>
            <w:tcW w:w="1440" w:type="dxa"/>
            <w:tcBorders>
              <w:top w:val="nil"/>
              <w:left w:val="single" w:sz="8" w:space="0" w:color="E3E3E3"/>
              <w:bottom w:val="single" w:sz="8" w:space="0" w:color="E3E3E3"/>
              <w:right w:val="nil"/>
            </w:tcBorders>
            <w:shd w:val="clear" w:color="auto" w:fill="F2F2F2" w:themeFill="background1" w:themeFillShade="F2"/>
            <w:tcMar>
              <w:top w:w="100" w:type="dxa"/>
              <w:left w:w="100" w:type="dxa"/>
              <w:bottom w:w="100" w:type="dxa"/>
              <w:right w:w="100" w:type="dxa"/>
            </w:tcMar>
          </w:tcPr>
          <w:p w14:paraId="2CA9C504" w14:textId="77777777" w:rsidR="00A70719" w:rsidRPr="004E12F5" w:rsidRDefault="004E12F5" w:rsidP="00216D77">
            <w:pPr>
              <w:spacing w:after="0" w:line="411" w:lineRule="auto"/>
              <w:rPr>
                <w:rFonts w:asciiTheme="minorHAnsi" w:eastAsia="Times New Roman" w:hAnsiTheme="minorHAnsi" w:cs="Times New Roman"/>
                <w:bCs/>
                <w:i/>
                <w:iCs/>
                <w:color w:val="0D0D0D"/>
                <w:sz w:val="19"/>
                <w:szCs w:val="19"/>
                <w:shd w:val="clear" w:color="auto" w:fill="FCFCF9"/>
              </w:rPr>
            </w:pPr>
            <w:r w:rsidRPr="004E12F5">
              <w:rPr>
                <w:rFonts w:asciiTheme="minorHAnsi" w:eastAsia="Times New Roman" w:hAnsiTheme="minorHAnsi" w:cs="Times New Roman"/>
                <w:bCs/>
                <w:i/>
                <w:iCs/>
                <w:color w:val="0D0D0D"/>
                <w:sz w:val="19"/>
                <w:szCs w:val="19"/>
                <w:shd w:val="clear" w:color="auto" w:fill="FCFCF9"/>
              </w:rPr>
              <w:t>Medium (Affects competitive position and operational efficiency)</w:t>
            </w:r>
          </w:p>
        </w:tc>
        <w:tc>
          <w:tcPr>
            <w:tcW w:w="1320" w:type="dxa"/>
            <w:tcBorders>
              <w:top w:val="nil"/>
              <w:left w:val="single" w:sz="8" w:space="0" w:color="E3E3E3"/>
              <w:bottom w:val="single" w:sz="8" w:space="0" w:color="E3E3E3"/>
              <w:right w:val="nil"/>
            </w:tcBorders>
            <w:shd w:val="clear" w:color="auto" w:fill="F2F2F2" w:themeFill="background1" w:themeFillShade="F2"/>
            <w:tcMar>
              <w:top w:w="100" w:type="dxa"/>
              <w:left w:w="100" w:type="dxa"/>
              <w:bottom w:w="100" w:type="dxa"/>
              <w:right w:w="100" w:type="dxa"/>
            </w:tcMar>
          </w:tcPr>
          <w:p w14:paraId="07F7F203" w14:textId="77777777" w:rsidR="00A70719" w:rsidRPr="004E12F5" w:rsidRDefault="004E12F5" w:rsidP="00216D77">
            <w:pPr>
              <w:spacing w:after="0" w:line="411" w:lineRule="auto"/>
              <w:rPr>
                <w:rFonts w:asciiTheme="minorHAnsi" w:eastAsia="Times New Roman" w:hAnsiTheme="minorHAnsi" w:cs="Times New Roman"/>
                <w:bCs/>
                <w:i/>
                <w:iCs/>
                <w:color w:val="0D0D0D"/>
                <w:sz w:val="19"/>
                <w:szCs w:val="19"/>
                <w:shd w:val="clear" w:color="auto" w:fill="FCFCF9"/>
              </w:rPr>
            </w:pPr>
            <w:r w:rsidRPr="004E12F5">
              <w:rPr>
                <w:rFonts w:asciiTheme="minorHAnsi" w:eastAsia="Times New Roman" w:hAnsiTheme="minorHAnsi" w:cs="Times New Roman"/>
                <w:bCs/>
                <w:i/>
                <w:iCs/>
                <w:color w:val="0D0D0D"/>
                <w:sz w:val="19"/>
                <w:szCs w:val="19"/>
                <w:shd w:val="clear" w:color="auto" w:fill="FCFCF9"/>
              </w:rPr>
              <w:t>Medium (Influence on market position)</w:t>
            </w:r>
          </w:p>
        </w:tc>
        <w:tc>
          <w:tcPr>
            <w:tcW w:w="1620" w:type="dxa"/>
            <w:tcBorders>
              <w:top w:val="nil"/>
              <w:left w:val="single" w:sz="8" w:space="0" w:color="E3E3E3"/>
              <w:bottom w:val="single" w:sz="8" w:space="0" w:color="E3E3E3"/>
              <w:right w:val="nil"/>
            </w:tcBorders>
            <w:shd w:val="clear" w:color="auto" w:fill="F2F2F2" w:themeFill="background1" w:themeFillShade="F2"/>
            <w:tcMar>
              <w:top w:w="100" w:type="dxa"/>
              <w:left w:w="100" w:type="dxa"/>
              <w:bottom w:w="100" w:type="dxa"/>
              <w:right w:w="100" w:type="dxa"/>
            </w:tcMar>
          </w:tcPr>
          <w:p w14:paraId="4E0C2279" w14:textId="77777777" w:rsidR="00A70719" w:rsidRPr="004E12F5" w:rsidRDefault="004E12F5" w:rsidP="00216D77">
            <w:pPr>
              <w:spacing w:after="0" w:line="411" w:lineRule="auto"/>
              <w:rPr>
                <w:rFonts w:asciiTheme="minorHAnsi" w:eastAsia="Times New Roman" w:hAnsiTheme="minorHAnsi" w:cs="Times New Roman"/>
                <w:bCs/>
                <w:i/>
                <w:iCs/>
                <w:color w:val="0D0D0D"/>
                <w:sz w:val="19"/>
                <w:szCs w:val="19"/>
                <w:shd w:val="clear" w:color="auto" w:fill="FCFCF9"/>
              </w:rPr>
            </w:pPr>
            <w:r w:rsidRPr="004E12F5">
              <w:rPr>
                <w:rFonts w:asciiTheme="minorHAnsi" w:eastAsia="Times New Roman" w:hAnsiTheme="minorHAnsi" w:cs="Times New Roman"/>
                <w:bCs/>
                <w:i/>
                <w:iCs/>
                <w:color w:val="0D0D0D"/>
                <w:sz w:val="19"/>
                <w:szCs w:val="19"/>
                <w:shd w:val="clear" w:color="auto" w:fill="FCFCF9"/>
              </w:rPr>
              <w:t xml:space="preserve">Yes (Identified, needs </w:t>
            </w:r>
            <w:proofErr w:type="gramStart"/>
            <w:r w:rsidRPr="004E12F5">
              <w:rPr>
                <w:rFonts w:asciiTheme="minorHAnsi" w:eastAsia="Times New Roman" w:hAnsiTheme="minorHAnsi" w:cs="Times New Roman"/>
                <w:bCs/>
                <w:i/>
                <w:iCs/>
                <w:color w:val="0D0D0D"/>
                <w:sz w:val="19"/>
                <w:szCs w:val="19"/>
                <w:shd w:val="clear" w:color="auto" w:fill="FCFCF9"/>
              </w:rPr>
              <w:t>more on</w:t>
            </w:r>
            <w:proofErr w:type="gramEnd"/>
            <w:r w:rsidRPr="004E12F5">
              <w:rPr>
                <w:rFonts w:asciiTheme="minorHAnsi" w:eastAsia="Times New Roman" w:hAnsiTheme="minorHAnsi" w:cs="Times New Roman"/>
                <w:bCs/>
                <w:i/>
                <w:iCs/>
                <w:color w:val="0D0D0D"/>
                <w:sz w:val="19"/>
                <w:szCs w:val="19"/>
                <w:shd w:val="clear" w:color="auto" w:fill="FCFCF9"/>
              </w:rPr>
              <w:t xml:space="preserve"> strategic responses to market changes)</w:t>
            </w:r>
          </w:p>
        </w:tc>
        <w:tc>
          <w:tcPr>
            <w:tcW w:w="1575" w:type="dxa"/>
            <w:tcBorders>
              <w:top w:val="nil"/>
              <w:left w:val="single" w:sz="8" w:space="0" w:color="E3E3E3"/>
              <w:bottom w:val="single" w:sz="8" w:space="0" w:color="E3E3E3"/>
              <w:right w:val="single" w:sz="8" w:space="0" w:color="E3E3E3"/>
            </w:tcBorders>
            <w:shd w:val="clear" w:color="auto" w:fill="F2F2F2" w:themeFill="background1" w:themeFillShade="F2"/>
            <w:tcMar>
              <w:top w:w="100" w:type="dxa"/>
              <w:left w:w="100" w:type="dxa"/>
              <w:bottom w:w="100" w:type="dxa"/>
              <w:right w:w="100" w:type="dxa"/>
            </w:tcMar>
          </w:tcPr>
          <w:p w14:paraId="42935D70" w14:textId="77777777" w:rsidR="00A70719" w:rsidRPr="004E12F5" w:rsidRDefault="004E12F5" w:rsidP="00216D77">
            <w:pPr>
              <w:spacing w:after="0" w:line="411" w:lineRule="auto"/>
              <w:rPr>
                <w:rFonts w:asciiTheme="minorHAnsi" w:eastAsia="Times New Roman" w:hAnsiTheme="minorHAnsi" w:cs="Times New Roman"/>
                <w:bCs/>
                <w:i/>
                <w:iCs/>
                <w:color w:val="0D0D0D"/>
                <w:sz w:val="19"/>
                <w:szCs w:val="19"/>
                <w:shd w:val="clear" w:color="auto" w:fill="FCFCF9"/>
              </w:rPr>
            </w:pPr>
            <w:r w:rsidRPr="004E12F5">
              <w:rPr>
                <w:rFonts w:asciiTheme="minorHAnsi" w:eastAsia="Times New Roman" w:hAnsiTheme="minorHAnsi" w:cs="Times New Roman"/>
                <w:bCs/>
                <w:i/>
                <w:iCs/>
                <w:color w:val="0D0D0D"/>
                <w:sz w:val="19"/>
                <w:szCs w:val="19"/>
                <w:shd w:val="clear" w:color="auto" w:fill="FCFCF9"/>
              </w:rPr>
              <w:t xml:space="preserve">Yes (Well-communicated, could include </w:t>
            </w:r>
            <w:proofErr w:type="gramStart"/>
            <w:r w:rsidRPr="004E12F5">
              <w:rPr>
                <w:rFonts w:asciiTheme="minorHAnsi" w:eastAsia="Times New Roman" w:hAnsiTheme="minorHAnsi" w:cs="Times New Roman"/>
                <w:bCs/>
                <w:i/>
                <w:iCs/>
                <w:color w:val="0D0D0D"/>
                <w:sz w:val="19"/>
                <w:szCs w:val="19"/>
                <w:shd w:val="clear" w:color="auto" w:fill="FCFCF9"/>
              </w:rPr>
              <w:t>more on</w:t>
            </w:r>
            <w:proofErr w:type="gramEnd"/>
            <w:r w:rsidRPr="004E12F5">
              <w:rPr>
                <w:rFonts w:asciiTheme="minorHAnsi" w:eastAsia="Times New Roman" w:hAnsiTheme="minorHAnsi" w:cs="Times New Roman"/>
                <w:bCs/>
                <w:i/>
                <w:iCs/>
                <w:color w:val="0D0D0D"/>
                <w:sz w:val="19"/>
                <w:szCs w:val="19"/>
                <w:shd w:val="clear" w:color="auto" w:fill="FCFCF9"/>
              </w:rPr>
              <w:t xml:space="preserve"> innovation strategies)</w:t>
            </w:r>
          </w:p>
        </w:tc>
      </w:tr>
      <w:tr w:rsidR="00A70719" w:rsidRPr="004E12F5" w14:paraId="48E78432" w14:textId="77777777" w:rsidTr="002C4EAE">
        <w:trPr>
          <w:trHeight w:val="2495"/>
        </w:trPr>
        <w:tc>
          <w:tcPr>
            <w:tcW w:w="1340" w:type="dxa"/>
            <w:tcBorders>
              <w:top w:val="nil"/>
              <w:left w:val="single" w:sz="8" w:space="0" w:color="E3E3E3"/>
              <w:bottom w:val="single" w:sz="8" w:space="0" w:color="E3E3E3"/>
              <w:right w:val="nil"/>
            </w:tcBorders>
            <w:shd w:val="clear" w:color="auto" w:fill="D1D1D1" w:themeFill="background2" w:themeFillShade="E6"/>
            <w:tcMar>
              <w:top w:w="100" w:type="dxa"/>
              <w:left w:w="100" w:type="dxa"/>
              <w:bottom w:w="100" w:type="dxa"/>
              <w:right w:w="100" w:type="dxa"/>
            </w:tcMar>
            <w:vAlign w:val="center"/>
          </w:tcPr>
          <w:p w14:paraId="511CB6E5" w14:textId="77777777" w:rsidR="00A70719" w:rsidRPr="004E12F5" w:rsidRDefault="004E12F5">
            <w:pPr>
              <w:spacing w:after="0" w:line="411" w:lineRule="auto"/>
              <w:rPr>
                <w:rFonts w:asciiTheme="minorHAnsi" w:eastAsia="Times New Roman" w:hAnsiTheme="minorHAnsi" w:cs="Times New Roman"/>
                <w:b/>
                <w:color w:val="0D0D0D"/>
                <w:sz w:val="19"/>
                <w:szCs w:val="19"/>
                <w:shd w:val="clear" w:color="auto" w:fill="FCFCF9"/>
              </w:rPr>
            </w:pPr>
            <w:r w:rsidRPr="004E12F5">
              <w:rPr>
                <w:rFonts w:asciiTheme="minorHAnsi" w:eastAsia="Times New Roman" w:hAnsiTheme="minorHAnsi" w:cs="Times New Roman"/>
                <w:b/>
                <w:color w:val="0D0D0D"/>
                <w:sz w:val="19"/>
                <w:szCs w:val="19"/>
                <w:shd w:val="clear" w:color="auto" w:fill="FCFCF9"/>
              </w:rPr>
              <w:t>ESG Issues</w:t>
            </w:r>
          </w:p>
        </w:tc>
        <w:tc>
          <w:tcPr>
            <w:tcW w:w="1180" w:type="dxa"/>
            <w:tcBorders>
              <w:top w:val="nil"/>
              <w:left w:val="single" w:sz="8" w:space="0" w:color="E3E3E3"/>
              <w:bottom w:val="single" w:sz="8" w:space="0" w:color="E3E3E3"/>
              <w:right w:val="nil"/>
            </w:tcBorders>
            <w:shd w:val="clear" w:color="auto" w:fill="F2F2F2" w:themeFill="background1" w:themeFillShade="F2"/>
            <w:tcMar>
              <w:top w:w="100" w:type="dxa"/>
              <w:left w:w="100" w:type="dxa"/>
              <w:bottom w:w="100" w:type="dxa"/>
              <w:right w:w="100" w:type="dxa"/>
            </w:tcMar>
            <w:vAlign w:val="center"/>
          </w:tcPr>
          <w:p w14:paraId="55A13D44" w14:textId="77777777" w:rsidR="00A70719" w:rsidRPr="004E12F5" w:rsidRDefault="004E12F5">
            <w:pPr>
              <w:spacing w:after="0" w:line="411" w:lineRule="auto"/>
              <w:rPr>
                <w:rFonts w:asciiTheme="minorHAnsi" w:eastAsia="Times New Roman" w:hAnsiTheme="minorHAnsi" w:cs="Times New Roman"/>
                <w:bCs/>
                <w:i/>
                <w:iCs/>
                <w:color w:val="0D0D0D"/>
                <w:sz w:val="19"/>
                <w:szCs w:val="19"/>
                <w:shd w:val="clear" w:color="auto" w:fill="FCFCF9"/>
              </w:rPr>
            </w:pPr>
            <w:r w:rsidRPr="004E12F5">
              <w:rPr>
                <w:rFonts w:asciiTheme="minorHAnsi" w:eastAsia="Times New Roman" w:hAnsiTheme="minorHAnsi" w:cs="Times New Roman"/>
                <w:bCs/>
                <w:i/>
                <w:iCs/>
                <w:color w:val="0D0D0D"/>
                <w:sz w:val="19"/>
                <w:szCs w:val="19"/>
                <w:shd w:val="clear" w:color="auto" w:fill="FCFCF9"/>
              </w:rPr>
              <w:t>Medium</w:t>
            </w:r>
          </w:p>
        </w:tc>
        <w:tc>
          <w:tcPr>
            <w:tcW w:w="1245" w:type="dxa"/>
            <w:tcBorders>
              <w:top w:val="nil"/>
              <w:left w:val="single" w:sz="8" w:space="0" w:color="E3E3E3"/>
              <w:bottom w:val="single" w:sz="8" w:space="0" w:color="E3E3E3"/>
              <w:right w:val="nil"/>
            </w:tcBorders>
            <w:shd w:val="clear" w:color="auto" w:fill="F2F2F2" w:themeFill="background1" w:themeFillShade="F2"/>
            <w:tcMar>
              <w:top w:w="100" w:type="dxa"/>
              <w:left w:w="100" w:type="dxa"/>
              <w:bottom w:w="100" w:type="dxa"/>
              <w:right w:w="100" w:type="dxa"/>
            </w:tcMar>
            <w:vAlign w:val="center"/>
          </w:tcPr>
          <w:p w14:paraId="25B83DE2" w14:textId="77777777" w:rsidR="00A70719" w:rsidRPr="004E12F5" w:rsidRDefault="004E12F5">
            <w:pPr>
              <w:spacing w:after="0" w:line="411" w:lineRule="auto"/>
              <w:rPr>
                <w:rFonts w:asciiTheme="minorHAnsi" w:eastAsia="Times New Roman" w:hAnsiTheme="minorHAnsi" w:cs="Times New Roman"/>
                <w:bCs/>
                <w:i/>
                <w:iCs/>
                <w:color w:val="0D0D0D"/>
                <w:sz w:val="19"/>
                <w:szCs w:val="19"/>
                <w:shd w:val="clear" w:color="auto" w:fill="FCFCF9"/>
              </w:rPr>
            </w:pPr>
            <w:r w:rsidRPr="004E12F5">
              <w:rPr>
                <w:rFonts w:asciiTheme="minorHAnsi" w:eastAsia="Times New Roman" w:hAnsiTheme="minorHAnsi" w:cs="Times New Roman"/>
                <w:bCs/>
                <w:i/>
                <w:iCs/>
                <w:color w:val="0D0D0D"/>
                <w:sz w:val="19"/>
                <w:szCs w:val="19"/>
                <w:shd w:val="clear" w:color="auto" w:fill="FCFCF9"/>
              </w:rPr>
              <w:t>Medium to High</w:t>
            </w:r>
          </w:p>
        </w:tc>
        <w:tc>
          <w:tcPr>
            <w:tcW w:w="1440" w:type="dxa"/>
            <w:tcBorders>
              <w:top w:val="nil"/>
              <w:left w:val="single" w:sz="8" w:space="0" w:color="E3E3E3"/>
              <w:bottom w:val="single" w:sz="8" w:space="0" w:color="E3E3E3"/>
              <w:right w:val="nil"/>
            </w:tcBorders>
            <w:shd w:val="clear" w:color="auto" w:fill="F2F2F2" w:themeFill="background1" w:themeFillShade="F2"/>
            <w:tcMar>
              <w:top w:w="100" w:type="dxa"/>
              <w:left w:w="100" w:type="dxa"/>
              <w:bottom w:w="100" w:type="dxa"/>
              <w:right w:w="100" w:type="dxa"/>
            </w:tcMar>
            <w:vAlign w:val="center"/>
          </w:tcPr>
          <w:p w14:paraId="282ADB53" w14:textId="77777777" w:rsidR="00A70719" w:rsidRPr="004E12F5" w:rsidRDefault="004E12F5">
            <w:pPr>
              <w:spacing w:after="0" w:line="411" w:lineRule="auto"/>
              <w:rPr>
                <w:rFonts w:asciiTheme="minorHAnsi" w:eastAsia="Times New Roman" w:hAnsiTheme="minorHAnsi" w:cs="Times New Roman"/>
                <w:bCs/>
                <w:i/>
                <w:iCs/>
                <w:color w:val="0D0D0D"/>
                <w:sz w:val="19"/>
                <w:szCs w:val="19"/>
                <w:shd w:val="clear" w:color="auto" w:fill="FCFCF9"/>
              </w:rPr>
            </w:pPr>
            <w:r w:rsidRPr="004E12F5">
              <w:rPr>
                <w:rFonts w:asciiTheme="minorHAnsi" w:eastAsia="Times New Roman" w:hAnsiTheme="minorHAnsi" w:cs="Times New Roman"/>
                <w:bCs/>
                <w:i/>
                <w:iCs/>
                <w:color w:val="0D0D0D"/>
                <w:sz w:val="19"/>
                <w:szCs w:val="19"/>
                <w:shd w:val="clear" w:color="auto" w:fill="FCFCF9"/>
              </w:rPr>
              <w:t>Medium (Long-term financial implications)</w:t>
            </w:r>
          </w:p>
        </w:tc>
        <w:tc>
          <w:tcPr>
            <w:tcW w:w="1320" w:type="dxa"/>
            <w:tcBorders>
              <w:top w:val="nil"/>
              <w:left w:val="single" w:sz="8" w:space="0" w:color="E3E3E3"/>
              <w:bottom w:val="single" w:sz="8" w:space="0" w:color="E3E3E3"/>
              <w:right w:val="nil"/>
            </w:tcBorders>
            <w:shd w:val="clear" w:color="auto" w:fill="F2F2F2" w:themeFill="background1" w:themeFillShade="F2"/>
            <w:tcMar>
              <w:top w:w="100" w:type="dxa"/>
              <w:left w:w="100" w:type="dxa"/>
              <w:bottom w:w="100" w:type="dxa"/>
              <w:right w:w="100" w:type="dxa"/>
            </w:tcMar>
            <w:vAlign w:val="center"/>
          </w:tcPr>
          <w:p w14:paraId="0F2CB8ED" w14:textId="77777777" w:rsidR="00A70719" w:rsidRPr="004E12F5" w:rsidRDefault="004E12F5">
            <w:pPr>
              <w:spacing w:after="0" w:line="411" w:lineRule="auto"/>
              <w:rPr>
                <w:rFonts w:asciiTheme="minorHAnsi" w:eastAsia="Times New Roman" w:hAnsiTheme="minorHAnsi" w:cs="Times New Roman"/>
                <w:bCs/>
                <w:i/>
                <w:iCs/>
                <w:color w:val="0D0D0D"/>
                <w:sz w:val="19"/>
                <w:szCs w:val="19"/>
                <w:shd w:val="clear" w:color="auto" w:fill="FCFCF9"/>
              </w:rPr>
            </w:pPr>
            <w:r w:rsidRPr="004E12F5">
              <w:rPr>
                <w:rFonts w:asciiTheme="minorHAnsi" w:eastAsia="Times New Roman" w:hAnsiTheme="minorHAnsi" w:cs="Times New Roman"/>
                <w:bCs/>
                <w:i/>
                <w:iCs/>
                <w:color w:val="0D0D0D"/>
                <w:sz w:val="19"/>
                <w:szCs w:val="19"/>
                <w:shd w:val="clear" w:color="auto" w:fill="FCFCF9"/>
              </w:rPr>
              <w:t>High (Growing stakeholder concern)</w:t>
            </w:r>
          </w:p>
        </w:tc>
        <w:tc>
          <w:tcPr>
            <w:tcW w:w="1620" w:type="dxa"/>
            <w:tcBorders>
              <w:top w:val="nil"/>
              <w:left w:val="single" w:sz="8" w:space="0" w:color="E3E3E3"/>
              <w:bottom w:val="single" w:sz="8" w:space="0" w:color="E3E3E3"/>
              <w:right w:val="nil"/>
            </w:tcBorders>
            <w:shd w:val="clear" w:color="auto" w:fill="F2F2F2" w:themeFill="background1" w:themeFillShade="F2"/>
            <w:tcMar>
              <w:top w:w="100" w:type="dxa"/>
              <w:left w:w="100" w:type="dxa"/>
              <w:bottom w:w="100" w:type="dxa"/>
              <w:right w:w="100" w:type="dxa"/>
            </w:tcMar>
            <w:vAlign w:val="center"/>
          </w:tcPr>
          <w:p w14:paraId="41BF114C" w14:textId="77777777" w:rsidR="00A70719" w:rsidRPr="004E12F5" w:rsidRDefault="004E12F5">
            <w:pPr>
              <w:spacing w:after="0" w:line="411" w:lineRule="auto"/>
              <w:rPr>
                <w:rFonts w:asciiTheme="minorHAnsi" w:eastAsia="Times New Roman" w:hAnsiTheme="minorHAnsi" w:cs="Times New Roman"/>
                <w:bCs/>
                <w:i/>
                <w:iCs/>
                <w:color w:val="0D0D0D"/>
                <w:sz w:val="19"/>
                <w:szCs w:val="19"/>
                <w:shd w:val="clear" w:color="auto" w:fill="FCFCF9"/>
              </w:rPr>
            </w:pPr>
            <w:r w:rsidRPr="004E12F5">
              <w:rPr>
                <w:rFonts w:asciiTheme="minorHAnsi" w:eastAsia="Times New Roman" w:hAnsiTheme="minorHAnsi" w:cs="Times New Roman"/>
                <w:bCs/>
                <w:i/>
                <w:iCs/>
                <w:color w:val="0D0D0D"/>
                <w:sz w:val="19"/>
                <w:szCs w:val="19"/>
                <w:shd w:val="clear" w:color="auto" w:fill="FCFCF9"/>
              </w:rPr>
              <w:t>Partially (Mentioned, but could benefit from more apparent strategies)</w:t>
            </w:r>
          </w:p>
        </w:tc>
        <w:tc>
          <w:tcPr>
            <w:tcW w:w="1575" w:type="dxa"/>
            <w:tcBorders>
              <w:top w:val="nil"/>
              <w:left w:val="single" w:sz="8" w:space="0" w:color="E3E3E3"/>
              <w:bottom w:val="single" w:sz="8" w:space="0" w:color="E3E3E3"/>
              <w:right w:val="single" w:sz="8" w:space="0" w:color="E3E3E3"/>
            </w:tcBorders>
            <w:shd w:val="clear" w:color="auto" w:fill="F2F2F2" w:themeFill="background1" w:themeFillShade="F2"/>
            <w:tcMar>
              <w:top w:w="100" w:type="dxa"/>
              <w:left w:w="100" w:type="dxa"/>
              <w:bottom w:w="100" w:type="dxa"/>
              <w:right w:w="100" w:type="dxa"/>
            </w:tcMar>
            <w:vAlign w:val="center"/>
          </w:tcPr>
          <w:p w14:paraId="5A076919" w14:textId="77777777" w:rsidR="00A70719" w:rsidRPr="004E12F5" w:rsidRDefault="004E12F5">
            <w:pPr>
              <w:widowControl w:val="0"/>
              <w:pBdr>
                <w:top w:val="nil"/>
                <w:left w:val="nil"/>
                <w:bottom w:val="nil"/>
                <w:right w:val="nil"/>
                <w:between w:val="nil"/>
              </w:pBdr>
              <w:spacing w:after="0" w:line="276" w:lineRule="auto"/>
              <w:rPr>
                <w:rFonts w:asciiTheme="minorHAnsi" w:eastAsia="Times New Roman" w:hAnsiTheme="minorHAnsi" w:cs="Times New Roman"/>
                <w:bCs/>
                <w:i/>
                <w:iCs/>
                <w:color w:val="0D0D0D"/>
                <w:sz w:val="19"/>
                <w:szCs w:val="19"/>
                <w:shd w:val="clear" w:color="auto" w:fill="FCFCF9"/>
              </w:rPr>
            </w:pPr>
            <w:r w:rsidRPr="004E12F5">
              <w:rPr>
                <w:rFonts w:asciiTheme="minorHAnsi" w:eastAsia="Times New Roman" w:hAnsiTheme="minorHAnsi" w:cs="Times New Roman"/>
                <w:bCs/>
                <w:i/>
                <w:iCs/>
                <w:color w:val="0D0D0D"/>
                <w:sz w:val="19"/>
                <w:szCs w:val="19"/>
                <w:shd w:val="clear" w:color="auto" w:fill="FCFCF9"/>
              </w:rPr>
              <w:t xml:space="preserve">Yes (Increasingly emphasized, room for more </w:t>
            </w:r>
            <w:r w:rsidRPr="004E12F5">
              <w:rPr>
                <w:rFonts w:asciiTheme="minorHAnsi" w:eastAsia="Times New Roman" w:hAnsiTheme="minorHAnsi" w:cs="Times New Roman"/>
                <w:bCs/>
                <w:i/>
                <w:iCs/>
                <w:color w:val="0D0D0D"/>
                <w:sz w:val="19"/>
                <w:szCs w:val="19"/>
                <w:shd w:val="clear" w:color="auto" w:fill="FCFCF9"/>
              </w:rPr>
              <w:t>detailed action plans)</w:t>
            </w:r>
          </w:p>
          <w:p w14:paraId="6957D1C6" w14:textId="77777777" w:rsidR="00A70719" w:rsidRPr="004E12F5" w:rsidRDefault="00A70719">
            <w:pPr>
              <w:widowControl w:val="0"/>
              <w:pBdr>
                <w:top w:val="nil"/>
                <w:left w:val="nil"/>
                <w:bottom w:val="nil"/>
                <w:right w:val="nil"/>
                <w:between w:val="nil"/>
              </w:pBdr>
              <w:spacing w:after="0" w:line="276" w:lineRule="auto"/>
              <w:rPr>
                <w:rFonts w:asciiTheme="minorHAnsi" w:eastAsia="Times New Roman" w:hAnsiTheme="minorHAnsi" w:cs="Times New Roman"/>
                <w:bCs/>
                <w:i/>
                <w:iCs/>
                <w:color w:val="0D0D0D"/>
                <w:sz w:val="19"/>
                <w:szCs w:val="19"/>
                <w:shd w:val="clear" w:color="auto" w:fill="FCFCF9"/>
              </w:rPr>
            </w:pPr>
          </w:p>
          <w:p w14:paraId="69179622" w14:textId="77777777" w:rsidR="00A70719" w:rsidRPr="004E12F5" w:rsidRDefault="00A70719">
            <w:pPr>
              <w:spacing w:after="0" w:line="411" w:lineRule="auto"/>
              <w:rPr>
                <w:rFonts w:asciiTheme="minorHAnsi" w:eastAsia="Times New Roman" w:hAnsiTheme="minorHAnsi" w:cs="Times New Roman"/>
                <w:bCs/>
                <w:i/>
                <w:iCs/>
                <w:color w:val="0D0D0D"/>
                <w:sz w:val="19"/>
                <w:szCs w:val="19"/>
                <w:shd w:val="clear" w:color="auto" w:fill="FCFCF9"/>
              </w:rPr>
            </w:pPr>
          </w:p>
        </w:tc>
      </w:tr>
    </w:tbl>
    <w:p w14:paraId="74C756F1" w14:textId="77777777" w:rsidR="00A70719" w:rsidRDefault="00A70719">
      <w:pPr>
        <w:spacing w:after="0" w:line="240" w:lineRule="auto"/>
        <w:rPr>
          <w:rFonts w:ascii="Times New Roman" w:eastAsia="Times New Roman" w:hAnsi="Times New Roman" w:cs="Times New Roman"/>
          <w:sz w:val="24"/>
          <w:szCs w:val="24"/>
          <w:shd w:val="clear" w:color="auto" w:fill="FCFCF9"/>
        </w:rPr>
      </w:pPr>
    </w:p>
    <w:p w14:paraId="1E5F4128" w14:textId="77777777" w:rsidR="00A70719" w:rsidRDefault="00A70719">
      <w:pPr>
        <w:spacing w:after="0" w:line="240" w:lineRule="auto"/>
        <w:rPr>
          <w:rFonts w:ascii="Times New Roman" w:eastAsia="Times New Roman" w:hAnsi="Times New Roman" w:cs="Times New Roman"/>
          <w:b/>
          <w:sz w:val="24"/>
          <w:szCs w:val="24"/>
        </w:rPr>
      </w:pPr>
    </w:p>
    <w:p w14:paraId="47535AB2" w14:textId="77777777" w:rsidR="00A70719" w:rsidRDefault="00A70719">
      <w:pPr>
        <w:spacing w:after="0" w:line="240" w:lineRule="auto"/>
        <w:rPr>
          <w:rFonts w:ascii="Times New Roman" w:eastAsia="Times New Roman" w:hAnsi="Times New Roman" w:cs="Times New Roman"/>
          <w:sz w:val="24"/>
          <w:szCs w:val="24"/>
        </w:rPr>
      </w:pPr>
    </w:p>
    <w:p w14:paraId="63CB3D39" w14:textId="77777777" w:rsidR="00A70719" w:rsidRDefault="00A70719">
      <w:pPr>
        <w:spacing w:after="0" w:line="240" w:lineRule="auto"/>
        <w:rPr>
          <w:rFonts w:ascii="Times New Roman" w:eastAsia="Times New Roman" w:hAnsi="Times New Roman" w:cs="Times New Roman"/>
          <w:sz w:val="24"/>
          <w:szCs w:val="24"/>
        </w:rPr>
      </w:pPr>
    </w:p>
    <w:p w14:paraId="06F89664" w14:textId="77777777" w:rsidR="00A70719" w:rsidRPr="002C4EAE" w:rsidRDefault="004E12F5" w:rsidP="004E12F5">
      <w:pPr>
        <w:pStyle w:val="Heading1"/>
        <w:rPr>
          <w:rFonts w:ascii="Times New Roman" w:eastAsia="Times New Roman" w:hAnsi="Times New Roman" w:cs="Times New Roman"/>
        </w:rPr>
      </w:pPr>
      <w:r w:rsidRPr="002C4EAE">
        <w:t>Cybersecurity and Technology Risks</w:t>
      </w:r>
    </w:p>
    <w:p w14:paraId="09AE3646" w14:textId="77777777" w:rsidR="00A70719" w:rsidRDefault="00A70719">
      <w:pPr>
        <w:spacing w:after="0" w:line="240" w:lineRule="auto"/>
        <w:rPr>
          <w:rFonts w:ascii="Times New Roman" w:eastAsia="Times New Roman" w:hAnsi="Times New Roman" w:cs="Times New Roman"/>
          <w:sz w:val="24"/>
          <w:szCs w:val="24"/>
        </w:rPr>
      </w:pPr>
    </w:p>
    <w:p w14:paraId="7B64DAE4" w14:textId="77777777" w:rsidR="00A70719" w:rsidRPr="002C4EAE" w:rsidRDefault="004E12F5">
      <w:pPr>
        <w:spacing w:after="0" w:line="240" w:lineRule="auto"/>
        <w:rPr>
          <w:rFonts w:ascii="Times New Roman" w:eastAsia="Times New Roman" w:hAnsi="Times New Roman" w:cs="Times New Roman"/>
          <w:sz w:val="24"/>
          <w:szCs w:val="24"/>
        </w:rPr>
      </w:pPr>
      <w:r w:rsidRPr="002C4EAE">
        <w:rPr>
          <w:sz w:val="24"/>
          <w:szCs w:val="24"/>
        </w:rPr>
        <w:t>PayPal and ACI Worldwide have invested much money in strengthening their cybersecurity defenses by implementing powerful encryption, real-time monitoring, and extensive incident response plans. PayPal's prompt response to a data breach in 2017 exemplifies its dedication to improving its cybersecurity posture. However, the truth is that existing defenses against cybersecurity threats—such as sophisticated AI-driven attacks and unique malware—may not be adequate in the face of evolving vulnerabilities. The re</w:t>
      </w:r>
      <w:r w:rsidRPr="002C4EAE">
        <w:rPr>
          <w:sz w:val="24"/>
          <w:szCs w:val="24"/>
        </w:rPr>
        <w:t xml:space="preserve">ports cover current mitigation techniques in depth but also subtly recognize the lack of preparedness for newly developing cybersecurity phenomena that the world has not yet encountered. (Wei, </w:t>
      </w:r>
      <w:proofErr w:type="gramStart"/>
      <w:r w:rsidRPr="002C4EAE">
        <w:rPr>
          <w:sz w:val="24"/>
          <w:szCs w:val="24"/>
        </w:rPr>
        <w:t>2017)(</w:t>
      </w:r>
      <w:proofErr w:type="gramEnd"/>
      <w:r w:rsidRPr="002C4EAE">
        <w:rPr>
          <w:sz w:val="24"/>
          <w:szCs w:val="24"/>
        </w:rPr>
        <w:t xml:space="preserve">10 Cybersecurity Predictions, n.d.) </w:t>
      </w:r>
    </w:p>
    <w:p w14:paraId="672E5742" w14:textId="77777777" w:rsidR="00A70719" w:rsidRDefault="00A70719">
      <w:pPr>
        <w:spacing w:after="0" w:line="240" w:lineRule="auto"/>
        <w:rPr>
          <w:rFonts w:ascii="Times New Roman" w:eastAsia="Times New Roman" w:hAnsi="Times New Roman" w:cs="Times New Roman"/>
          <w:sz w:val="24"/>
          <w:szCs w:val="24"/>
        </w:rPr>
      </w:pPr>
    </w:p>
    <w:p w14:paraId="77D677AF" w14:textId="77777777" w:rsidR="00A70719" w:rsidRPr="002C4EAE" w:rsidRDefault="004E12F5" w:rsidP="004E12F5">
      <w:pPr>
        <w:pStyle w:val="Heading1"/>
        <w:rPr>
          <w:rFonts w:ascii="Times New Roman" w:eastAsia="Times New Roman" w:hAnsi="Times New Roman" w:cs="Times New Roman"/>
        </w:rPr>
      </w:pPr>
      <w:r w:rsidRPr="002C4EAE">
        <w:t>Compliance with Regulations and Legal Challenges</w:t>
      </w:r>
    </w:p>
    <w:p w14:paraId="79BA6650" w14:textId="77777777" w:rsidR="00A70719" w:rsidRDefault="00A70719">
      <w:pPr>
        <w:spacing w:after="0" w:line="240" w:lineRule="auto"/>
        <w:rPr>
          <w:rFonts w:ascii="Times New Roman" w:eastAsia="Times New Roman" w:hAnsi="Times New Roman" w:cs="Times New Roman"/>
          <w:sz w:val="24"/>
          <w:szCs w:val="24"/>
        </w:rPr>
      </w:pPr>
    </w:p>
    <w:p w14:paraId="7EF40112" w14:textId="77777777" w:rsidR="00A70719" w:rsidRPr="002C4EAE" w:rsidRDefault="004E12F5">
      <w:pPr>
        <w:spacing w:after="0" w:line="240" w:lineRule="auto"/>
        <w:rPr>
          <w:rFonts w:ascii="Times New Roman" w:eastAsia="Times New Roman" w:hAnsi="Times New Roman" w:cs="Times New Roman"/>
          <w:sz w:val="24"/>
          <w:szCs w:val="24"/>
        </w:rPr>
      </w:pPr>
      <w:r w:rsidRPr="002C4EAE">
        <w:rPr>
          <w:sz w:val="24"/>
          <w:szCs w:val="24"/>
        </w:rPr>
        <w:t>The regulatory environment affects businesses worldwide and is a maze of changing legal requirements in many jurisdictions. ACI Worldwide and PayPal have demonstrated their response to this complexity through proactive steps, including regular audits and the improvement of their compliance procedures. However, it needs to be clarified how well these protections will hold up to unforeseen or future regulatory changes. For instance, unanticipated financial compliance requirements or new data protection laws m</w:t>
      </w:r>
      <w:r w:rsidRPr="002C4EAE">
        <w:rPr>
          <w:sz w:val="24"/>
          <w:szCs w:val="24"/>
        </w:rPr>
        <w:t>ay provide difficulties that their present risk mitigation plans have yet to thoroughly consider or address.</w:t>
      </w:r>
    </w:p>
    <w:p w14:paraId="71DA1309" w14:textId="77777777" w:rsidR="00A70719" w:rsidRDefault="00A70719">
      <w:pPr>
        <w:spacing w:after="0" w:line="240" w:lineRule="auto"/>
        <w:rPr>
          <w:rFonts w:ascii="Times New Roman" w:eastAsia="Times New Roman" w:hAnsi="Times New Roman" w:cs="Times New Roman"/>
          <w:sz w:val="24"/>
          <w:szCs w:val="24"/>
        </w:rPr>
      </w:pPr>
    </w:p>
    <w:p w14:paraId="56193814" w14:textId="77777777" w:rsidR="00A70719" w:rsidRPr="002C4EAE" w:rsidRDefault="004E12F5" w:rsidP="004E12F5">
      <w:pPr>
        <w:pStyle w:val="Heading1"/>
        <w:rPr>
          <w:rFonts w:ascii="Times New Roman" w:eastAsia="Times New Roman" w:hAnsi="Times New Roman" w:cs="Times New Roman"/>
        </w:rPr>
      </w:pPr>
      <w:r w:rsidRPr="002C4EAE">
        <w:t>Financial and Credit Risks</w:t>
      </w:r>
    </w:p>
    <w:p w14:paraId="20894231" w14:textId="77777777" w:rsidR="00A70719" w:rsidRDefault="00A70719">
      <w:pPr>
        <w:spacing w:after="0" w:line="240" w:lineRule="auto"/>
        <w:rPr>
          <w:rFonts w:ascii="Times New Roman" w:eastAsia="Times New Roman" w:hAnsi="Times New Roman" w:cs="Times New Roman"/>
          <w:sz w:val="24"/>
          <w:szCs w:val="24"/>
        </w:rPr>
      </w:pPr>
    </w:p>
    <w:p w14:paraId="4CBD0CFE" w14:textId="77777777" w:rsidR="00A70719" w:rsidRPr="002C4EAE" w:rsidRDefault="004E12F5">
      <w:pPr>
        <w:spacing w:after="0" w:line="240" w:lineRule="auto"/>
        <w:rPr>
          <w:rFonts w:ascii="Times New Roman" w:eastAsia="Times New Roman" w:hAnsi="Times New Roman" w:cs="Times New Roman"/>
          <w:sz w:val="24"/>
          <w:szCs w:val="24"/>
        </w:rPr>
      </w:pPr>
      <w:r w:rsidRPr="002C4EAE">
        <w:rPr>
          <w:sz w:val="24"/>
          <w:szCs w:val="24"/>
        </w:rPr>
        <w:t xml:space="preserve">Significant hazards come from financial and credit risks, which are impacted by changes in interest rates, currency volatility, and global economic fluctuations. ACI's strategic debt refinancing demonstrates proactive financial risk management. However, because financial market disruptions and economic downturns are unpredictable, current financial safeguards might not be sufficient to avert future financial crises, raising the possibility of unanticipated financial difficulties that still need to be fully </w:t>
      </w:r>
      <w:r w:rsidRPr="002C4EAE">
        <w:rPr>
          <w:sz w:val="24"/>
          <w:szCs w:val="24"/>
        </w:rPr>
        <w:t>anticipated or planned for in their reports.</w:t>
      </w:r>
    </w:p>
    <w:p w14:paraId="0BA85926" w14:textId="77777777" w:rsidR="00A70719" w:rsidRDefault="00A70719">
      <w:pPr>
        <w:spacing w:after="0" w:line="240" w:lineRule="auto"/>
        <w:rPr>
          <w:rFonts w:ascii="Times New Roman" w:eastAsia="Times New Roman" w:hAnsi="Times New Roman" w:cs="Times New Roman"/>
          <w:sz w:val="24"/>
          <w:szCs w:val="24"/>
        </w:rPr>
      </w:pPr>
    </w:p>
    <w:p w14:paraId="5470B75B" w14:textId="77777777" w:rsidR="00A70719" w:rsidRPr="002C4EAE" w:rsidRDefault="004E12F5" w:rsidP="004E12F5">
      <w:pPr>
        <w:pStyle w:val="Heading1"/>
        <w:rPr>
          <w:rFonts w:ascii="Times New Roman" w:eastAsia="Times New Roman" w:hAnsi="Times New Roman" w:cs="Times New Roman"/>
        </w:rPr>
      </w:pPr>
      <w:r w:rsidRPr="002C4EAE">
        <w:lastRenderedPageBreak/>
        <w:t>Market and Operational Risks</w:t>
      </w:r>
    </w:p>
    <w:p w14:paraId="033712E0" w14:textId="77777777" w:rsidR="00A70719" w:rsidRDefault="00A70719">
      <w:pPr>
        <w:spacing w:after="0" w:line="240" w:lineRule="auto"/>
        <w:rPr>
          <w:rFonts w:ascii="Times New Roman" w:eastAsia="Times New Roman" w:hAnsi="Times New Roman" w:cs="Times New Roman"/>
          <w:sz w:val="24"/>
          <w:szCs w:val="24"/>
        </w:rPr>
      </w:pPr>
    </w:p>
    <w:p w14:paraId="72DBD5AB" w14:textId="77777777" w:rsidR="00A70719" w:rsidRPr="004E12F5" w:rsidRDefault="004E12F5">
      <w:pPr>
        <w:spacing w:after="0" w:line="240" w:lineRule="auto"/>
        <w:rPr>
          <w:rFonts w:ascii="Times New Roman" w:eastAsia="Times New Roman" w:hAnsi="Times New Roman" w:cs="Times New Roman"/>
          <w:sz w:val="24"/>
          <w:szCs w:val="24"/>
        </w:rPr>
      </w:pPr>
      <w:r w:rsidRPr="004E12F5">
        <w:rPr>
          <w:sz w:val="24"/>
          <w:szCs w:val="24"/>
        </w:rPr>
        <w:t xml:space="preserve">Both ACI </w:t>
      </w:r>
      <w:r w:rsidRPr="004E12F5">
        <w:rPr>
          <w:sz w:val="24"/>
          <w:szCs w:val="24"/>
        </w:rPr>
        <w:t xml:space="preserve">Worldwide and PayPal aim to stay ahead of the curve with innovative ideas and strategic acquisitions in a market characterized by rapid </w:t>
      </w:r>
      <w:proofErr w:type="gramStart"/>
      <w:r w:rsidRPr="004E12F5">
        <w:rPr>
          <w:sz w:val="24"/>
          <w:szCs w:val="24"/>
        </w:rPr>
        <w:t>technology</w:t>
      </w:r>
      <w:proofErr w:type="gramEnd"/>
      <w:r w:rsidRPr="004E12F5">
        <w:rPr>
          <w:sz w:val="24"/>
          <w:szCs w:val="24"/>
        </w:rPr>
        <w:t xml:space="preserve"> advancement and intense competition. However, the speed at which technology is </w:t>
      </w:r>
      <w:proofErr w:type="gramStart"/>
      <w:r w:rsidRPr="004E12F5">
        <w:rPr>
          <w:sz w:val="24"/>
          <w:szCs w:val="24"/>
        </w:rPr>
        <w:t>developing</w:t>
      </w:r>
      <w:proofErr w:type="gramEnd"/>
      <w:r w:rsidRPr="004E12F5">
        <w:rPr>
          <w:sz w:val="24"/>
          <w:szCs w:val="24"/>
        </w:rPr>
        <w:t xml:space="preserve"> and the appearance of new competitors highlight how difficult it will be to foresee and plan for potential operational setbacks. The reports include specifics about existing tactics, but they also acknowledge that anticipating and </w:t>
      </w:r>
      <w:proofErr w:type="gramStart"/>
      <w:r w:rsidRPr="004E12F5">
        <w:rPr>
          <w:sz w:val="24"/>
          <w:szCs w:val="24"/>
        </w:rPr>
        <w:t>adequately</w:t>
      </w:r>
      <w:proofErr w:type="gramEnd"/>
      <w:r w:rsidRPr="004E12F5">
        <w:rPr>
          <w:sz w:val="24"/>
          <w:szCs w:val="24"/>
        </w:rPr>
        <w:t xml:space="preserve"> planning for new market disruptio</w:t>
      </w:r>
      <w:r w:rsidRPr="004E12F5">
        <w:rPr>
          <w:sz w:val="24"/>
          <w:szCs w:val="24"/>
        </w:rPr>
        <w:t>ns and operational hazards might be challenging.</w:t>
      </w:r>
    </w:p>
    <w:p w14:paraId="76A0E719" w14:textId="77777777" w:rsidR="00A70719" w:rsidRDefault="00A70719">
      <w:pPr>
        <w:spacing w:after="0" w:line="240" w:lineRule="auto"/>
        <w:rPr>
          <w:rFonts w:ascii="Times New Roman" w:eastAsia="Times New Roman" w:hAnsi="Times New Roman" w:cs="Times New Roman"/>
          <w:sz w:val="24"/>
          <w:szCs w:val="24"/>
        </w:rPr>
      </w:pPr>
    </w:p>
    <w:p w14:paraId="15CEA318" w14:textId="77777777" w:rsidR="00A70719" w:rsidRDefault="00A70719">
      <w:pPr>
        <w:spacing w:after="0" w:line="240" w:lineRule="auto"/>
        <w:rPr>
          <w:rFonts w:ascii="Times New Roman" w:eastAsia="Times New Roman" w:hAnsi="Times New Roman" w:cs="Times New Roman"/>
          <w:sz w:val="24"/>
          <w:szCs w:val="24"/>
        </w:rPr>
      </w:pPr>
    </w:p>
    <w:p w14:paraId="335390AF" w14:textId="77777777" w:rsidR="00A70719" w:rsidRPr="002C4EAE" w:rsidRDefault="004E12F5" w:rsidP="004E12F5">
      <w:pPr>
        <w:pStyle w:val="Heading1"/>
        <w:rPr>
          <w:rFonts w:ascii="Aptos" w:eastAsia="Aptos" w:hAnsi="Aptos" w:cs="Aptos"/>
        </w:rPr>
      </w:pPr>
      <w:r w:rsidRPr="002C4EAE">
        <w:t>ESG Issues</w:t>
      </w:r>
    </w:p>
    <w:p w14:paraId="27E24F8F" w14:textId="77777777" w:rsidR="00A70719" w:rsidRDefault="00A70719">
      <w:pPr>
        <w:spacing w:after="0" w:line="240" w:lineRule="auto"/>
        <w:rPr>
          <w:rFonts w:ascii="Times New Roman" w:eastAsia="Times New Roman" w:hAnsi="Times New Roman" w:cs="Times New Roman"/>
          <w:sz w:val="24"/>
          <w:szCs w:val="24"/>
        </w:rPr>
      </w:pPr>
    </w:p>
    <w:p w14:paraId="3012ED74" w14:textId="77777777" w:rsidR="00A70719" w:rsidRPr="004E12F5" w:rsidRDefault="004E12F5">
      <w:pPr>
        <w:spacing w:after="0" w:line="240" w:lineRule="auto"/>
        <w:rPr>
          <w:rFonts w:ascii="Times New Roman" w:eastAsia="Times New Roman" w:hAnsi="Times New Roman" w:cs="Times New Roman"/>
          <w:sz w:val="24"/>
          <w:szCs w:val="24"/>
        </w:rPr>
      </w:pPr>
      <w:r w:rsidRPr="004E12F5">
        <w:rPr>
          <w:sz w:val="24"/>
          <w:szCs w:val="24"/>
        </w:rPr>
        <w:t xml:space="preserve">Both businesses have started making significant efforts in sustainability, diversity, and ethical governance due to the growing emphasis on ESG factors. Nevertheless, there must be more than present efforts to handle upcoming ESG issues, given the changing standards and expectations around ESG performance. The reports outline the steps taken to address ESG issues. However, they also reveal an underlying recognition that, </w:t>
      </w:r>
      <w:proofErr w:type="gramStart"/>
      <w:r w:rsidRPr="004E12F5">
        <w:rPr>
          <w:sz w:val="24"/>
          <w:szCs w:val="24"/>
        </w:rPr>
        <w:t>similar to</w:t>
      </w:r>
      <w:proofErr w:type="gramEnd"/>
      <w:r w:rsidRPr="004E12F5">
        <w:rPr>
          <w:sz w:val="24"/>
          <w:szCs w:val="24"/>
        </w:rPr>
        <w:t xml:space="preserve"> undiscovered environmental calamities or societal upheavals, the extent and type of future ESG risks may exceed existing measures.</w:t>
      </w:r>
    </w:p>
    <w:p w14:paraId="612C4013" w14:textId="77777777" w:rsidR="00A70719" w:rsidRPr="004E12F5" w:rsidRDefault="00A70719">
      <w:pPr>
        <w:spacing w:after="0" w:line="240" w:lineRule="auto"/>
        <w:rPr>
          <w:rFonts w:ascii="Times New Roman" w:eastAsia="Times New Roman" w:hAnsi="Times New Roman" w:cs="Times New Roman"/>
          <w:sz w:val="24"/>
          <w:szCs w:val="24"/>
        </w:rPr>
      </w:pPr>
    </w:p>
    <w:p w14:paraId="79A2F6EF" w14:textId="77777777" w:rsidR="00A70719" w:rsidRPr="004E12F5" w:rsidRDefault="00A70719">
      <w:pPr>
        <w:spacing w:after="0" w:line="240" w:lineRule="auto"/>
        <w:rPr>
          <w:rFonts w:ascii="Times New Roman" w:eastAsia="Times New Roman" w:hAnsi="Times New Roman" w:cs="Times New Roman"/>
          <w:sz w:val="24"/>
          <w:szCs w:val="24"/>
        </w:rPr>
      </w:pPr>
    </w:p>
    <w:p w14:paraId="7BE82D73" w14:textId="77777777" w:rsidR="00A70719" w:rsidRDefault="004E12F5">
      <w:pPr>
        <w:spacing w:after="0" w:line="240" w:lineRule="auto"/>
        <w:rPr>
          <w:rFonts w:ascii="Times New Roman" w:eastAsia="Times New Roman" w:hAnsi="Times New Roman" w:cs="Times New Roman"/>
          <w:sz w:val="24"/>
          <w:szCs w:val="24"/>
        </w:rPr>
      </w:pPr>
      <w:r w:rsidRPr="004E12F5">
        <w:rPr>
          <w:sz w:val="24"/>
          <w:szCs w:val="24"/>
        </w:rPr>
        <w:t xml:space="preserve">Even though ACI Worldwide and PayPal have shown diligence in mitigating known risks by providing comprehensive strategies in their 10-K reports, the risk landscape is constantly changing, and they must acknowledge that their preparedness could be better. Future hazards underscore the difficulty of being prepared for the unexpected, particularly those that have not yet materialized or are not entirely understood. Examples of such threats include unprecedented cybersecurity assaults and unforeseen regulatory </w:t>
      </w:r>
      <w:r w:rsidRPr="004E12F5">
        <w:rPr>
          <w:sz w:val="24"/>
          <w:szCs w:val="24"/>
        </w:rPr>
        <w:t xml:space="preserve">demands. </w:t>
      </w:r>
      <w:proofErr w:type="gramStart"/>
      <w:r w:rsidRPr="004E12F5">
        <w:rPr>
          <w:sz w:val="24"/>
          <w:szCs w:val="24"/>
        </w:rPr>
        <w:t>In order to</w:t>
      </w:r>
      <w:proofErr w:type="gramEnd"/>
      <w:r w:rsidRPr="004E12F5">
        <w:rPr>
          <w:sz w:val="24"/>
          <w:szCs w:val="24"/>
        </w:rPr>
        <w:t xml:space="preserve"> successfully traverse the uncertain and complex world that lies ahead, risk management approaches must be constantly innovative</w:t>
      </w:r>
      <w:r>
        <w:t>, flexible, and vigilant.</w:t>
      </w:r>
    </w:p>
    <w:p w14:paraId="06C56006" w14:textId="77777777" w:rsidR="00A70719" w:rsidRDefault="00A70719">
      <w:pPr>
        <w:spacing w:after="0" w:line="240" w:lineRule="auto"/>
        <w:rPr>
          <w:rFonts w:ascii="Times New Roman" w:eastAsia="Times New Roman" w:hAnsi="Times New Roman" w:cs="Times New Roman"/>
          <w:b/>
          <w:sz w:val="24"/>
          <w:szCs w:val="24"/>
        </w:rPr>
      </w:pPr>
    </w:p>
    <w:p w14:paraId="7B776EC2" w14:textId="77777777" w:rsidR="00A70719" w:rsidRDefault="004E12F5">
      <w:pPr>
        <w:pStyle w:val="Heading1"/>
        <w:rPr>
          <w:rFonts w:ascii="Times New Roman" w:eastAsia="Times New Roman" w:hAnsi="Times New Roman" w:cs="Times New Roman"/>
        </w:rPr>
      </w:pPr>
      <w:r>
        <w:t>Conclusion</w:t>
      </w:r>
    </w:p>
    <w:p w14:paraId="2FE0F01B" w14:textId="77777777" w:rsidR="00A70719" w:rsidRDefault="00A70719">
      <w:pPr>
        <w:spacing w:after="0" w:line="240" w:lineRule="auto"/>
        <w:rPr>
          <w:rFonts w:ascii="Times New Roman" w:eastAsia="Times New Roman" w:hAnsi="Times New Roman" w:cs="Times New Roman"/>
          <w:sz w:val="24"/>
          <w:szCs w:val="24"/>
        </w:rPr>
      </w:pPr>
    </w:p>
    <w:p w14:paraId="6367F760" w14:textId="77777777" w:rsidR="00A70719" w:rsidRPr="004E12F5" w:rsidRDefault="004E12F5" w:rsidP="004E12F5">
      <w:pPr>
        <w:pBdr>
          <w:top w:val="nil"/>
          <w:left w:val="nil"/>
          <w:bottom w:val="nil"/>
          <w:right w:val="nil"/>
          <w:between w:val="nil"/>
        </w:pBdr>
        <w:shd w:val="clear" w:color="auto" w:fill="FFFFFF"/>
        <w:spacing w:after="300" w:line="276" w:lineRule="auto"/>
        <w:rPr>
          <w:rFonts w:ascii="Roboto" w:eastAsia="Roboto" w:hAnsi="Roboto" w:cs="Roboto"/>
          <w:sz w:val="24"/>
          <w:szCs w:val="24"/>
        </w:rPr>
      </w:pPr>
      <w:r w:rsidRPr="004E12F5">
        <w:rPr>
          <w:sz w:val="24"/>
          <w:szCs w:val="24"/>
        </w:rPr>
        <w:t xml:space="preserve">Our in-depth review of PayPal Holdings, Inc. and ACI Worldwide, Inc. unveils their strategic tactics in disclosing risks within the fintech industry. Diving into their 10-K annual reports, we </w:t>
      </w:r>
      <w:r w:rsidRPr="004E12F5">
        <w:rPr>
          <w:sz w:val="24"/>
          <w:szCs w:val="24"/>
        </w:rPr>
        <w:t xml:space="preserve">dissect how these leading </w:t>
      </w:r>
      <w:proofErr w:type="gramStart"/>
      <w:r w:rsidRPr="004E12F5">
        <w:rPr>
          <w:sz w:val="24"/>
          <w:szCs w:val="24"/>
        </w:rPr>
        <w:t>companies</w:t>
      </w:r>
      <w:proofErr w:type="gramEnd"/>
      <w:r w:rsidRPr="004E12F5">
        <w:rPr>
          <w:sz w:val="24"/>
          <w:szCs w:val="24"/>
        </w:rPr>
        <w:t xml:space="preserve"> approach and convey risks, shedding light on their dedication to clarity and ahead-of-the-curve risk management.</w:t>
      </w:r>
    </w:p>
    <w:p w14:paraId="268A073A" w14:textId="77777777" w:rsidR="00A70719" w:rsidRPr="002C4EAE" w:rsidRDefault="004E12F5">
      <w:pPr>
        <w:pBdr>
          <w:top w:val="nil"/>
          <w:left w:val="nil"/>
          <w:bottom w:val="nil"/>
          <w:right w:val="nil"/>
          <w:between w:val="nil"/>
        </w:pBdr>
        <w:shd w:val="clear" w:color="auto" w:fill="FFFFFF"/>
        <w:spacing w:before="300" w:after="300" w:line="420" w:lineRule="auto"/>
        <w:rPr>
          <w:rFonts w:ascii="Roboto" w:eastAsia="Roboto" w:hAnsi="Roboto" w:cs="Roboto"/>
          <w:b/>
          <w:bCs/>
          <w:sz w:val="32"/>
          <w:szCs w:val="32"/>
        </w:rPr>
      </w:pPr>
      <w:r w:rsidRPr="002C4EAE">
        <w:rPr>
          <w:b/>
          <w:bCs/>
          <w:sz w:val="32"/>
          <w:szCs w:val="32"/>
        </w:rPr>
        <w:lastRenderedPageBreak/>
        <w:t>Key Takeaways:</w:t>
      </w:r>
    </w:p>
    <w:p w14:paraId="1843FE62" w14:textId="77777777" w:rsidR="00A70719" w:rsidRPr="004E12F5" w:rsidRDefault="004E12F5">
      <w:pPr>
        <w:numPr>
          <w:ilvl w:val="0"/>
          <w:numId w:val="1"/>
        </w:numPr>
        <w:pBdr>
          <w:top w:val="nil"/>
          <w:left w:val="nil"/>
          <w:bottom w:val="nil"/>
          <w:right w:val="nil"/>
          <w:between w:val="nil"/>
        </w:pBdr>
        <w:spacing w:before="300" w:after="0"/>
        <w:rPr>
          <w:sz w:val="24"/>
          <w:szCs w:val="24"/>
        </w:rPr>
      </w:pPr>
      <w:r w:rsidRPr="004E12F5">
        <w:rPr>
          <w:sz w:val="24"/>
          <w:szCs w:val="24"/>
        </w:rPr>
        <w:t xml:space="preserve">Cybersecurity Risk: Both entities highlight the critical importance of </w:t>
      </w:r>
      <w:r w:rsidRPr="004E12F5">
        <w:rPr>
          <w:sz w:val="24"/>
          <w:szCs w:val="24"/>
        </w:rPr>
        <w:t>cybersecurity, acknowledging the significant financial and reputation damage from cyber incidents. Despite their solid protective efforts, the shifting landscape of cyber threats necessitates continuous advancements in their security strategies.</w:t>
      </w:r>
    </w:p>
    <w:p w14:paraId="0382C5EE" w14:textId="77777777" w:rsidR="00A70719" w:rsidRPr="004E12F5" w:rsidRDefault="004E12F5">
      <w:pPr>
        <w:numPr>
          <w:ilvl w:val="0"/>
          <w:numId w:val="1"/>
        </w:numPr>
        <w:pBdr>
          <w:top w:val="nil"/>
          <w:left w:val="nil"/>
          <w:bottom w:val="nil"/>
          <w:right w:val="nil"/>
          <w:between w:val="nil"/>
        </w:pBdr>
        <w:spacing w:after="0"/>
        <w:rPr>
          <w:sz w:val="24"/>
          <w:szCs w:val="24"/>
        </w:rPr>
      </w:pPr>
      <w:proofErr w:type="gramStart"/>
      <w:r w:rsidRPr="004E12F5">
        <w:rPr>
          <w:sz w:val="24"/>
          <w:szCs w:val="24"/>
        </w:rPr>
        <w:t>regulatory</w:t>
      </w:r>
      <w:proofErr w:type="gramEnd"/>
      <w:r w:rsidRPr="004E12F5">
        <w:rPr>
          <w:sz w:val="24"/>
          <w:szCs w:val="24"/>
        </w:rPr>
        <w:t xml:space="preserve"> Adherence: Facing the challenge of keeping up with a constantly evolving regulatory field, their risk disclosures show different levels of detail, revealing their unique methods for managing regulatory hurdles.</w:t>
      </w:r>
    </w:p>
    <w:p w14:paraId="4AEFE426" w14:textId="77777777" w:rsidR="00A70719" w:rsidRPr="004E12F5" w:rsidRDefault="004E12F5">
      <w:pPr>
        <w:numPr>
          <w:ilvl w:val="0"/>
          <w:numId w:val="1"/>
        </w:numPr>
        <w:pBdr>
          <w:top w:val="nil"/>
          <w:left w:val="nil"/>
          <w:bottom w:val="nil"/>
          <w:right w:val="nil"/>
          <w:between w:val="nil"/>
        </w:pBdr>
        <w:spacing w:after="0"/>
        <w:rPr>
          <w:sz w:val="24"/>
          <w:szCs w:val="24"/>
        </w:rPr>
      </w:pPr>
      <w:r w:rsidRPr="004E12F5">
        <w:rPr>
          <w:sz w:val="24"/>
          <w:szCs w:val="24"/>
        </w:rPr>
        <w:t>Competitive and Operational Hurdles: Key challenges are identified as staying innovative and maintaining a competitive advantage. The companies' strategic planning and responses vary, showcasing their paths to maintaining industry leadership.</w:t>
      </w:r>
    </w:p>
    <w:p w14:paraId="7010517B" w14:textId="77777777" w:rsidR="00A70719" w:rsidRPr="004E12F5" w:rsidRDefault="004E12F5">
      <w:pPr>
        <w:numPr>
          <w:ilvl w:val="0"/>
          <w:numId w:val="1"/>
        </w:numPr>
        <w:pBdr>
          <w:top w:val="nil"/>
          <w:left w:val="nil"/>
          <w:bottom w:val="nil"/>
          <w:right w:val="nil"/>
          <w:between w:val="nil"/>
        </w:pBdr>
        <w:spacing w:after="0"/>
        <w:rPr>
          <w:sz w:val="24"/>
          <w:szCs w:val="24"/>
        </w:rPr>
      </w:pPr>
      <w:r w:rsidRPr="004E12F5">
        <w:rPr>
          <w:sz w:val="24"/>
          <w:szCs w:val="24"/>
        </w:rPr>
        <w:t>Economic and Financial Health Risks: The threat of economic shifts to their financial stability is acknowledged, with each company's approach providing insight into their financial risk handling, indicating a deep understanding of the economic influences on their operations.</w:t>
      </w:r>
    </w:p>
    <w:p w14:paraId="3D12C70E" w14:textId="77777777" w:rsidR="00A70719" w:rsidRPr="004E12F5" w:rsidRDefault="004E12F5">
      <w:pPr>
        <w:numPr>
          <w:ilvl w:val="0"/>
          <w:numId w:val="1"/>
        </w:numPr>
        <w:pBdr>
          <w:top w:val="nil"/>
          <w:left w:val="nil"/>
          <w:bottom w:val="nil"/>
          <w:right w:val="nil"/>
          <w:between w:val="nil"/>
        </w:pBdr>
        <w:spacing w:after="300"/>
        <w:rPr>
          <w:sz w:val="24"/>
          <w:szCs w:val="24"/>
        </w:rPr>
      </w:pPr>
      <w:r w:rsidRPr="004E12F5">
        <w:rPr>
          <w:sz w:val="24"/>
          <w:szCs w:val="24"/>
        </w:rPr>
        <w:t xml:space="preserve">ESG Engagement: PayPal presents more in-depth information on ESG-related risks than ACI Worldwide, indicating an increasing trend </w:t>
      </w:r>
      <w:proofErr w:type="gramStart"/>
      <w:r w:rsidRPr="004E12F5">
        <w:rPr>
          <w:sz w:val="24"/>
          <w:szCs w:val="24"/>
        </w:rPr>
        <w:t>of</w:t>
      </w:r>
      <w:proofErr w:type="gramEnd"/>
      <w:r w:rsidRPr="004E12F5">
        <w:rPr>
          <w:sz w:val="24"/>
          <w:szCs w:val="24"/>
        </w:rPr>
        <w:t xml:space="preserve"> incorporating ESG factors into risk management frameworks.</w:t>
      </w:r>
    </w:p>
    <w:p w14:paraId="72E2AB5E" w14:textId="2ABC4A21" w:rsidR="00A70719" w:rsidRPr="002C4EAE" w:rsidRDefault="004E12F5" w:rsidP="002C4EAE">
      <w:pPr>
        <w:pStyle w:val="Heading1"/>
        <w:rPr>
          <w:rFonts w:ascii="Roboto" w:eastAsia="Roboto" w:hAnsi="Roboto" w:cs="Roboto"/>
          <w:sz w:val="24"/>
          <w:szCs w:val="24"/>
        </w:rPr>
      </w:pPr>
      <w:r>
        <w:br/>
      </w:r>
      <w:r w:rsidRPr="002C4EAE">
        <w:t>Recommendations:</w:t>
      </w:r>
    </w:p>
    <w:p w14:paraId="7CD5308D" w14:textId="77777777" w:rsidR="00A70719" w:rsidRPr="002C4EAE" w:rsidRDefault="004E12F5">
      <w:pPr>
        <w:pBdr>
          <w:top w:val="nil"/>
          <w:left w:val="nil"/>
          <w:bottom w:val="nil"/>
          <w:right w:val="nil"/>
          <w:between w:val="nil"/>
        </w:pBdr>
        <w:shd w:val="clear" w:color="auto" w:fill="FFFFFF"/>
        <w:spacing w:before="300" w:after="300" w:line="420" w:lineRule="auto"/>
        <w:rPr>
          <w:b/>
          <w:bCs/>
          <w:sz w:val="32"/>
          <w:szCs w:val="32"/>
        </w:rPr>
      </w:pPr>
      <w:r w:rsidRPr="002C4EAE">
        <w:rPr>
          <w:b/>
          <w:bCs/>
          <w:sz w:val="32"/>
          <w:szCs w:val="32"/>
        </w:rPr>
        <w:t>For PayPal:</w:t>
      </w:r>
    </w:p>
    <w:p w14:paraId="19B497B9" w14:textId="77777777" w:rsidR="00A70719" w:rsidRPr="002C4EAE" w:rsidRDefault="004E12F5">
      <w:pPr>
        <w:numPr>
          <w:ilvl w:val="0"/>
          <w:numId w:val="2"/>
        </w:numPr>
        <w:pBdr>
          <w:top w:val="nil"/>
          <w:left w:val="nil"/>
          <w:bottom w:val="nil"/>
          <w:right w:val="nil"/>
          <w:between w:val="nil"/>
        </w:pBdr>
        <w:spacing w:before="300" w:after="0"/>
        <w:rPr>
          <w:sz w:val="24"/>
          <w:szCs w:val="24"/>
        </w:rPr>
      </w:pPr>
      <w:r w:rsidRPr="002C4EAE">
        <w:rPr>
          <w:sz w:val="24"/>
          <w:szCs w:val="24"/>
        </w:rPr>
        <w:t>Detail the financial implications of principal risks.</w:t>
      </w:r>
    </w:p>
    <w:p w14:paraId="402D497B" w14:textId="77777777" w:rsidR="00A70719" w:rsidRPr="002C4EAE" w:rsidRDefault="004E12F5">
      <w:pPr>
        <w:numPr>
          <w:ilvl w:val="0"/>
          <w:numId w:val="2"/>
        </w:numPr>
        <w:pBdr>
          <w:top w:val="nil"/>
          <w:left w:val="nil"/>
          <w:bottom w:val="nil"/>
          <w:right w:val="nil"/>
          <w:between w:val="nil"/>
        </w:pBdr>
        <w:spacing w:after="0"/>
        <w:rPr>
          <w:sz w:val="24"/>
          <w:szCs w:val="24"/>
        </w:rPr>
      </w:pPr>
      <w:r w:rsidRPr="002C4EAE">
        <w:rPr>
          <w:sz w:val="24"/>
          <w:szCs w:val="24"/>
        </w:rPr>
        <w:t xml:space="preserve">Dive </w:t>
      </w:r>
      <w:r w:rsidRPr="002C4EAE">
        <w:rPr>
          <w:sz w:val="24"/>
          <w:szCs w:val="24"/>
        </w:rPr>
        <w:t>deeper into ESG risk management specifics.</w:t>
      </w:r>
    </w:p>
    <w:p w14:paraId="2468D325" w14:textId="77777777" w:rsidR="00A70719" w:rsidRPr="002C4EAE" w:rsidRDefault="004E12F5">
      <w:pPr>
        <w:numPr>
          <w:ilvl w:val="0"/>
          <w:numId w:val="2"/>
        </w:numPr>
        <w:pBdr>
          <w:top w:val="nil"/>
          <w:left w:val="nil"/>
          <w:bottom w:val="nil"/>
          <w:right w:val="nil"/>
          <w:between w:val="nil"/>
        </w:pBdr>
        <w:spacing w:after="0"/>
        <w:rPr>
          <w:sz w:val="24"/>
          <w:szCs w:val="24"/>
        </w:rPr>
      </w:pPr>
      <w:r w:rsidRPr="002C4EAE">
        <w:rPr>
          <w:sz w:val="24"/>
          <w:szCs w:val="24"/>
        </w:rPr>
        <w:t>Offer more insights into strategic initiatives.</w:t>
      </w:r>
    </w:p>
    <w:p w14:paraId="6478F5A6" w14:textId="77777777" w:rsidR="00A70719" w:rsidRDefault="004E12F5">
      <w:pPr>
        <w:numPr>
          <w:ilvl w:val="0"/>
          <w:numId w:val="2"/>
        </w:numPr>
        <w:pBdr>
          <w:top w:val="nil"/>
          <w:left w:val="nil"/>
          <w:bottom w:val="nil"/>
          <w:right w:val="nil"/>
          <w:between w:val="nil"/>
        </w:pBdr>
        <w:spacing w:after="300"/>
        <w:rPr>
          <w:sz w:val="24"/>
          <w:szCs w:val="24"/>
        </w:rPr>
      </w:pPr>
      <w:r w:rsidRPr="002C4EAE">
        <w:rPr>
          <w:sz w:val="24"/>
          <w:szCs w:val="24"/>
        </w:rPr>
        <w:t>Broaden the scope of third-party risk management discussions.</w:t>
      </w:r>
    </w:p>
    <w:p w14:paraId="2BF3B498" w14:textId="77777777" w:rsidR="004E12F5" w:rsidRPr="002C4EAE" w:rsidRDefault="004E12F5" w:rsidP="004E12F5">
      <w:pPr>
        <w:pBdr>
          <w:top w:val="nil"/>
          <w:left w:val="nil"/>
          <w:bottom w:val="nil"/>
          <w:right w:val="nil"/>
          <w:between w:val="nil"/>
        </w:pBdr>
        <w:spacing w:after="300"/>
        <w:ind w:left="720"/>
        <w:rPr>
          <w:sz w:val="24"/>
          <w:szCs w:val="24"/>
        </w:rPr>
      </w:pPr>
    </w:p>
    <w:p w14:paraId="0F74DEE3" w14:textId="77777777" w:rsidR="00A70719" w:rsidRPr="002C4EAE" w:rsidRDefault="004E12F5">
      <w:pPr>
        <w:pBdr>
          <w:top w:val="nil"/>
          <w:left w:val="nil"/>
          <w:bottom w:val="nil"/>
          <w:right w:val="nil"/>
          <w:between w:val="nil"/>
        </w:pBdr>
        <w:shd w:val="clear" w:color="auto" w:fill="FFFFFF"/>
        <w:spacing w:before="300" w:after="300" w:line="420" w:lineRule="auto"/>
        <w:rPr>
          <w:rFonts w:ascii="Roboto" w:eastAsia="Roboto" w:hAnsi="Roboto" w:cs="Roboto"/>
          <w:b/>
          <w:bCs/>
          <w:sz w:val="32"/>
          <w:szCs w:val="32"/>
        </w:rPr>
      </w:pPr>
      <w:r w:rsidRPr="002C4EAE">
        <w:rPr>
          <w:b/>
          <w:bCs/>
          <w:sz w:val="32"/>
          <w:szCs w:val="32"/>
        </w:rPr>
        <w:t>For ACI Worldwide</w:t>
      </w:r>
    </w:p>
    <w:p w14:paraId="11976E6E" w14:textId="77777777" w:rsidR="00A70719" w:rsidRPr="002C4EAE" w:rsidRDefault="004E12F5">
      <w:pPr>
        <w:numPr>
          <w:ilvl w:val="0"/>
          <w:numId w:val="7"/>
        </w:numPr>
        <w:pBdr>
          <w:top w:val="nil"/>
          <w:left w:val="nil"/>
          <w:bottom w:val="nil"/>
          <w:right w:val="nil"/>
          <w:between w:val="nil"/>
        </w:pBdr>
        <w:spacing w:before="300" w:after="0"/>
        <w:rPr>
          <w:sz w:val="24"/>
          <w:szCs w:val="24"/>
        </w:rPr>
      </w:pPr>
      <w:r w:rsidRPr="002C4EAE">
        <w:rPr>
          <w:sz w:val="24"/>
          <w:szCs w:val="24"/>
        </w:rPr>
        <w:t>Increase the detail provided on cybersecurity risks.</w:t>
      </w:r>
    </w:p>
    <w:p w14:paraId="79741BC5" w14:textId="77777777" w:rsidR="00A70719" w:rsidRPr="002C4EAE" w:rsidRDefault="004E12F5">
      <w:pPr>
        <w:numPr>
          <w:ilvl w:val="0"/>
          <w:numId w:val="7"/>
        </w:numPr>
        <w:pBdr>
          <w:top w:val="nil"/>
          <w:left w:val="nil"/>
          <w:bottom w:val="nil"/>
          <w:right w:val="nil"/>
          <w:between w:val="nil"/>
        </w:pBdr>
        <w:spacing w:after="0"/>
        <w:rPr>
          <w:sz w:val="24"/>
          <w:szCs w:val="24"/>
        </w:rPr>
      </w:pPr>
      <w:r w:rsidRPr="002C4EAE">
        <w:rPr>
          <w:sz w:val="24"/>
          <w:szCs w:val="24"/>
        </w:rPr>
        <w:lastRenderedPageBreak/>
        <w:t xml:space="preserve">Improve transparency </w:t>
      </w:r>
      <w:r w:rsidRPr="002C4EAE">
        <w:rPr>
          <w:sz w:val="24"/>
          <w:szCs w:val="24"/>
        </w:rPr>
        <w:t>around compliance strategies.</w:t>
      </w:r>
    </w:p>
    <w:p w14:paraId="765A3C0A" w14:textId="77777777" w:rsidR="00A70719" w:rsidRPr="002C4EAE" w:rsidRDefault="004E12F5">
      <w:pPr>
        <w:numPr>
          <w:ilvl w:val="0"/>
          <w:numId w:val="7"/>
        </w:numPr>
        <w:pBdr>
          <w:top w:val="nil"/>
          <w:left w:val="nil"/>
          <w:bottom w:val="nil"/>
          <w:right w:val="nil"/>
          <w:between w:val="nil"/>
        </w:pBdr>
        <w:spacing w:after="0"/>
        <w:rPr>
          <w:sz w:val="24"/>
          <w:szCs w:val="24"/>
        </w:rPr>
      </w:pPr>
      <w:proofErr w:type="gramStart"/>
      <w:r w:rsidRPr="002C4EAE">
        <w:rPr>
          <w:sz w:val="24"/>
          <w:szCs w:val="24"/>
        </w:rPr>
        <w:t>Expand on</w:t>
      </w:r>
      <w:proofErr w:type="gramEnd"/>
      <w:r w:rsidRPr="002C4EAE">
        <w:rPr>
          <w:sz w:val="24"/>
          <w:szCs w:val="24"/>
        </w:rPr>
        <w:t xml:space="preserve"> strategic initiatives' background and impact.</w:t>
      </w:r>
    </w:p>
    <w:p w14:paraId="7EBE45FD" w14:textId="77777777" w:rsidR="00A70719" w:rsidRPr="002C4EAE" w:rsidRDefault="004E12F5">
      <w:pPr>
        <w:numPr>
          <w:ilvl w:val="0"/>
          <w:numId w:val="7"/>
        </w:numPr>
        <w:pBdr>
          <w:top w:val="nil"/>
          <w:left w:val="nil"/>
          <w:bottom w:val="nil"/>
          <w:right w:val="nil"/>
          <w:between w:val="nil"/>
        </w:pBdr>
        <w:spacing w:after="300"/>
        <w:rPr>
          <w:sz w:val="24"/>
          <w:szCs w:val="24"/>
        </w:rPr>
      </w:pPr>
      <w:r w:rsidRPr="002C4EAE">
        <w:rPr>
          <w:sz w:val="24"/>
          <w:szCs w:val="24"/>
        </w:rPr>
        <w:t>Elaborate on third-party risk management approaches.</w:t>
      </w:r>
    </w:p>
    <w:p w14:paraId="795F966C" w14:textId="77777777" w:rsidR="004E12F5" w:rsidRDefault="004E12F5">
      <w:pPr>
        <w:pBdr>
          <w:top w:val="nil"/>
          <w:left w:val="nil"/>
          <w:bottom w:val="nil"/>
          <w:right w:val="nil"/>
          <w:between w:val="nil"/>
        </w:pBdr>
        <w:shd w:val="clear" w:color="auto" w:fill="FFFFFF"/>
        <w:spacing w:before="300" w:after="300" w:line="420" w:lineRule="auto"/>
        <w:rPr>
          <w:b/>
          <w:bCs/>
          <w:sz w:val="32"/>
          <w:szCs w:val="32"/>
        </w:rPr>
      </w:pPr>
    </w:p>
    <w:p w14:paraId="648FEC93" w14:textId="3F63F94B" w:rsidR="00A70719" w:rsidRPr="002C4EAE" w:rsidRDefault="004E12F5" w:rsidP="004E12F5">
      <w:pPr>
        <w:pStyle w:val="Heading1"/>
        <w:rPr>
          <w:rFonts w:ascii="Aptos" w:eastAsia="Aptos" w:hAnsi="Aptos" w:cs="Aptos"/>
        </w:rPr>
      </w:pPr>
      <w:r w:rsidRPr="002C4EAE">
        <w:t>Comparative Analysis</w:t>
      </w:r>
    </w:p>
    <w:p w14:paraId="0073B260" w14:textId="77777777" w:rsidR="00A70719" w:rsidRPr="002C4EAE" w:rsidRDefault="004E12F5">
      <w:pPr>
        <w:numPr>
          <w:ilvl w:val="0"/>
          <w:numId w:val="6"/>
        </w:numPr>
        <w:pBdr>
          <w:top w:val="nil"/>
          <w:left w:val="nil"/>
          <w:bottom w:val="nil"/>
          <w:right w:val="nil"/>
          <w:between w:val="nil"/>
        </w:pBdr>
        <w:spacing w:before="300" w:after="0"/>
        <w:rPr>
          <w:sz w:val="24"/>
          <w:szCs w:val="24"/>
        </w:rPr>
      </w:pPr>
      <w:r w:rsidRPr="002C4EAE">
        <w:rPr>
          <w:sz w:val="24"/>
          <w:szCs w:val="24"/>
        </w:rPr>
        <w:t xml:space="preserve">Risk Identification: PayPal's detailed risk reporting could serve as a model for ACI </w:t>
      </w:r>
      <w:r w:rsidRPr="002C4EAE">
        <w:rPr>
          <w:sz w:val="24"/>
          <w:szCs w:val="24"/>
        </w:rPr>
        <w:t>Worldwide, potentially strengthening its risk identification and mitigation practices.</w:t>
      </w:r>
    </w:p>
    <w:p w14:paraId="718EC0B9" w14:textId="77777777" w:rsidR="00A70719" w:rsidRPr="002C4EAE" w:rsidRDefault="004E12F5">
      <w:pPr>
        <w:numPr>
          <w:ilvl w:val="0"/>
          <w:numId w:val="6"/>
        </w:numPr>
        <w:pBdr>
          <w:top w:val="nil"/>
          <w:left w:val="nil"/>
          <w:bottom w:val="nil"/>
          <w:right w:val="nil"/>
          <w:between w:val="nil"/>
        </w:pBdr>
        <w:spacing w:after="0"/>
        <w:rPr>
          <w:sz w:val="24"/>
          <w:szCs w:val="24"/>
        </w:rPr>
      </w:pPr>
      <w:r w:rsidRPr="002C4EAE">
        <w:rPr>
          <w:sz w:val="24"/>
          <w:szCs w:val="24"/>
        </w:rPr>
        <w:t xml:space="preserve">Operational Resilience: A gap in recognizing potential threats could limit ACI's ability to proactively manage risks, highlighting the necessity for </w:t>
      </w:r>
      <w:r w:rsidRPr="002C4EAE">
        <w:rPr>
          <w:sz w:val="24"/>
          <w:szCs w:val="24"/>
        </w:rPr>
        <w:t>operational agility and forward-looking risk management.</w:t>
      </w:r>
    </w:p>
    <w:p w14:paraId="0C846DBA" w14:textId="77777777" w:rsidR="00A70719" w:rsidRPr="002C4EAE" w:rsidRDefault="004E12F5">
      <w:pPr>
        <w:numPr>
          <w:ilvl w:val="0"/>
          <w:numId w:val="6"/>
        </w:numPr>
        <w:pBdr>
          <w:top w:val="nil"/>
          <w:left w:val="nil"/>
          <w:bottom w:val="nil"/>
          <w:right w:val="nil"/>
          <w:between w:val="nil"/>
        </w:pBdr>
        <w:spacing w:after="300"/>
        <w:rPr>
          <w:sz w:val="24"/>
          <w:szCs w:val="24"/>
        </w:rPr>
      </w:pPr>
      <w:r w:rsidRPr="002C4EAE">
        <w:rPr>
          <w:sz w:val="24"/>
          <w:szCs w:val="24"/>
        </w:rPr>
        <w:t>Comprehensive Strategy: A more all-encompassing risk management approach, integrating proactive and responsive actions, could significantly improve both companies' navigation through the fintech landscape.</w:t>
      </w:r>
    </w:p>
    <w:p w14:paraId="4F72229B" w14:textId="77777777" w:rsidR="00A70719" w:rsidRPr="002C4EAE" w:rsidRDefault="004E12F5" w:rsidP="002C4EAE">
      <w:pPr>
        <w:pStyle w:val="Heading1"/>
        <w:rPr>
          <w:rFonts w:ascii="Aptos" w:eastAsia="Aptos" w:hAnsi="Aptos" w:cs="Aptos"/>
        </w:rPr>
      </w:pPr>
      <w:r w:rsidRPr="002C4EAE">
        <w:t>Closing Remarks</w:t>
      </w:r>
    </w:p>
    <w:p w14:paraId="68A66A53" w14:textId="77777777" w:rsidR="00A70719" w:rsidRPr="002C4EAE" w:rsidRDefault="004E12F5" w:rsidP="002C4EAE">
      <w:pPr>
        <w:pBdr>
          <w:top w:val="nil"/>
          <w:left w:val="nil"/>
          <w:bottom w:val="nil"/>
          <w:right w:val="nil"/>
          <w:between w:val="nil"/>
        </w:pBdr>
        <w:shd w:val="clear" w:color="auto" w:fill="FFFFFF"/>
        <w:spacing w:before="300" w:after="0" w:line="276" w:lineRule="auto"/>
        <w:rPr>
          <w:rFonts w:ascii="Roboto" w:eastAsia="Roboto" w:hAnsi="Roboto" w:cs="Roboto"/>
          <w:sz w:val="24"/>
          <w:szCs w:val="24"/>
        </w:rPr>
      </w:pPr>
      <w:r w:rsidRPr="002C4EAE">
        <w:rPr>
          <w:sz w:val="24"/>
          <w:szCs w:val="24"/>
        </w:rPr>
        <w:t xml:space="preserve">Examining PayPal and ACI </w:t>
      </w:r>
      <w:proofErr w:type="spellStart"/>
      <w:r w:rsidRPr="002C4EAE">
        <w:rPr>
          <w:sz w:val="24"/>
          <w:szCs w:val="24"/>
        </w:rPr>
        <w:t>Worldwide's</w:t>
      </w:r>
      <w:proofErr w:type="spellEnd"/>
      <w:r w:rsidRPr="002C4EAE">
        <w:rPr>
          <w:sz w:val="24"/>
          <w:szCs w:val="24"/>
        </w:rPr>
        <w:t xml:space="preserve"> risk disclosure methods </w:t>
      </w:r>
      <w:proofErr w:type="gramStart"/>
      <w:r w:rsidRPr="002C4EAE">
        <w:rPr>
          <w:sz w:val="24"/>
          <w:szCs w:val="24"/>
        </w:rPr>
        <w:t>underlines</w:t>
      </w:r>
      <w:proofErr w:type="gramEnd"/>
      <w:r w:rsidRPr="002C4EAE">
        <w:rPr>
          <w:sz w:val="24"/>
          <w:szCs w:val="24"/>
        </w:rPr>
        <w:t xml:space="preserve"> their proactive attitudes and uncovers opportunities for refinement to better meet investor and business expectations. By adopting the </w:t>
      </w:r>
      <w:proofErr w:type="gramStart"/>
      <w:r w:rsidRPr="002C4EAE">
        <w:rPr>
          <w:sz w:val="24"/>
          <w:szCs w:val="24"/>
        </w:rPr>
        <w:t xml:space="preserve">outlined </w:t>
      </w:r>
      <w:r w:rsidRPr="002C4EAE">
        <w:rPr>
          <w:sz w:val="24"/>
          <w:szCs w:val="24"/>
        </w:rPr>
        <w:t>improvements</w:t>
      </w:r>
      <w:proofErr w:type="gramEnd"/>
      <w:r w:rsidRPr="002C4EAE">
        <w:rPr>
          <w:sz w:val="24"/>
          <w:szCs w:val="24"/>
        </w:rPr>
        <w:t>, both companies can enhance risk communication, boosting investor trust and securing their success in the dynamic fintech sector.</w:t>
      </w:r>
    </w:p>
    <w:p w14:paraId="5349E012" w14:textId="77777777" w:rsidR="00A70719" w:rsidRDefault="00A70719">
      <w:pPr>
        <w:pBdr>
          <w:top w:val="nil"/>
          <w:left w:val="nil"/>
          <w:bottom w:val="nil"/>
          <w:right w:val="nil"/>
          <w:between w:val="nil"/>
        </w:pBdr>
        <w:shd w:val="clear" w:color="auto" w:fill="FFFFFF"/>
        <w:spacing w:before="300" w:after="0" w:line="420" w:lineRule="auto"/>
        <w:rPr>
          <w:rFonts w:ascii="Roboto" w:eastAsia="Roboto" w:hAnsi="Roboto" w:cs="Roboto"/>
          <w:sz w:val="24"/>
          <w:szCs w:val="24"/>
        </w:rPr>
      </w:pPr>
    </w:p>
    <w:p w14:paraId="5425FE49" w14:textId="77777777" w:rsidR="00A70719" w:rsidRDefault="004E12F5" w:rsidP="002C4EAE">
      <w:pPr>
        <w:pStyle w:val="Heading1"/>
        <w:rPr>
          <w:rFonts w:ascii="Roboto" w:eastAsia="Roboto" w:hAnsi="Roboto" w:cs="Roboto"/>
          <w:b/>
          <w:sz w:val="24"/>
          <w:szCs w:val="24"/>
        </w:rPr>
      </w:pPr>
      <w:r>
        <w:t>References</w:t>
      </w:r>
    </w:p>
    <w:p w14:paraId="50991800" w14:textId="77777777" w:rsidR="00A70719" w:rsidRPr="002C4EAE" w:rsidRDefault="004E12F5" w:rsidP="002C4EAE">
      <w:pPr>
        <w:pStyle w:val="ListParagraph"/>
        <w:numPr>
          <w:ilvl w:val="0"/>
          <w:numId w:val="8"/>
        </w:numPr>
        <w:pBdr>
          <w:top w:val="nil"/>
          <w:left w:val="nil"/>
          <w:bottom w:val="nil"/>
          <w:right w:val="nil"/>
          <w:between w:val="nil"/>
        </w:pBdr>
        <w:shd w:val="clear" w:color="auto" w:fill="FFFFFF"/>
        <w:spacing w:after="0" w:line="276" w:lineRule="auto"/>
        <w:ind w:left="360"/>
        <w:rPr>
          <w:rFonts w:ascii="Roboto" w:eastAsia="Roboto" w:hAnsi="Roboto" w:cs="Roboto"/>
          <w:sz w:val="24"/>
          <w:szCs w:val="24"/>
        </w:rPr>
      </w:pPr>
      <w:r w:rsidRPr="002C4EAE">
        <w:rPr>
          <w:sz w:val="24"/>
          <w:szCs w:val="24"/>
        </w:rPr>
        <w:t xml:space="preserve">Company Announcement - FT.com. (2024, February 29). Markets data. Retrieved March 17, 2024, from </w:t>
      </w:r>
      <w:r w:rsidRPr="002C4EAE">
        <w:rPr>
          <w:sz w:val="24"/>
          <w:szCs w:val="24"/>
        </w:rPr>
        <w:t>https://markets.ft.com/data/announce/detail?dockey=600-202402290601BIZWIRE_USPRX____20240229_BW357302-1</w:t>
      </w:r>
    </w:p>
    <w:p w14:paraId="1C3A9DE8" w14:textId="77777777" w:rsidR="00A70719" w:rsidRPr="002C4EAE" w:rsidRDefault="004E12F5" w:rsidP="002C4EAE">
      <w:pPr>
        <w:pStyle w:val="ListParagraph"/>
        <w:numPr>
          <w:ilvl w:val="0"/>
          <w:numId w:val="8"/>
        </w:numPr>
        <w:pBdr>
          <w:top w:val="nil"/>
          <w:left w:val="nil"/>
          <w:bottom w:val="nil"/>
          <w:right w:val="nil"/>
          <w:between w:val="nil"/>
        </w:pBdr>
        <w:shd w:val="clear" w:color="auto" w:fill="FFFFFF"/>
        <w:spacing w:after="0" w:line="276" w:lineRule="auto"/>
        <w:ind w:left="360"/>
        <w:rPr>
          <w:rFonts w:ascii="Roboto" w:eastAsia="Roboto" w:hAnsi="Roboto" w:cs="Roboto"/>
          <w:sz w:val="24"/>
          <w:szCs w:val="24"/>
        </w:rPr>
      </w:pPr>
      <w:r w:rsidRPr="002C4EAE">
        <w:rPr>
          <w:sz w:val="24"/>
          <w:szCs w:val="24"/>
        </w:rPr>
        <w:t>Company Announcement - FT.com. (2024, February 29). Markets data. Retrieved March 17, 2024, from https://markets.ft.com/data/announce/detail?dockey=600-202402290601BIZWIRE_USPRX____20240229_BW357302-1</w:t>
      </w:r>
    </w:p>
    <w:p w14:paraId="0FC881F6" w14:textId="77777777" w:rsidR="00A70719" w:rsidRPr="002C4EAE" w:rsidRDefault="004E12F5" w:rsidP="002C4EAE">
      <w:pPr>
        <w:pStyle w:val="ListParagraph"/>
        <w:numPr>
          <w:ilvl w:val="0"/>
          <w:numId w:val="8"/>
        </w:numPr>
        <w:pBdr>
          <w:top w:val="nil"/>
          <w:left w:val="nil"/>
          <w:bottom w:val="nil"/>
          <w:right w:val="nil"/>
          <w:between w:val="nil"/>
        </w:pBdr>
        <w:shd w:val="clear" w:color="auto" w:fill="FFFFFF"/>
        <w:spacing w:after="0" w:line="276" w:lineRule="auto"/>
        <w:ind w:left="360"/>
        <w:rPr>
          <w:rFonts w:ascii="Roboto" w:eastAsia="Roboto" w:hAnsi="Roboto" w:cs="Roboto"/>
          <w:sz w:val="24"/>
          <w:szCs w:val="24"/>
        </w:rPr>
      </w:pPr>
      <w:r w:rsidRPr="002C4EAE">
        <w:rPr>
          <w:sz w:val="24"/>
          <w:szCs w:val="24"/>
        </w:rPr>
        <w:lastRenderedPageBreak/>
        <w:t>Q4 23 PayPal Earnings Release. (2024, February 7). Q4 23 PayPal Earnings Release. Retrieved March 17, 2024, from https://s201.q4cdn.com/231198771/files/doc_financials/2023/q4/Q4-23-PayPal-Earnings-Release.pdf</w:t>
      </w:r>
    </w:p>
    <w:p w14:paraId="1A2E6215" w14:textId="77777777" w:rsidR="00A70719" w:rsidRPr="002C4EAE" w:rsidRDefault="004E12F5" w:rsidP="002C4EAE">
      <w:pPr>
        <w:pStyle w:val="ListParagraph"/>
        <w:numPr>
          <w:ilvl w:val="0"/>
          <w:numId w:val="8"/>
        </w:numPr>
        <w:pBdr>
          <w:top w:val="nil"/>
          <w:left w:val="nil"/>
          <w:bottom w:val="nil"/>
          <w:right w:val="nil"/>
          <w:between w:val="nil"/>
        </w:pBdr>
        <w:shd w:val="clear" w:color="auto" w:fill="FFFFFF"/>
        <w:spacing w:after="0" w:line="276" w:lineRule="auto"/>
        <w:ind w:left="360"/>
        <w:rPr>
          <w:rFonts w:ascii="Roboto" w:eastAsia="Roboto" w:hAnsi="Roboto" w:cs="Roboto"/>
          <w:sz w:val="24"/>
          <w:szCs w:val="24"/>
        </w:rPr>
      </w:pPr>
      <w:r w:rsidRPr="002C4EAE">
        <w:rPr>
          <w:sz w:val="24"/>
          <w:szCs w:val="24"/>
        </w:rPr>
        <w:t>Q4 23 PayPal Earnings Release. (2024, February 7). Q4 23 PayPal Earnings Release. Retrieved March 17, 2024, from https://s201.q4cdn.com/231198771/files/doc_financials/2023/q4/Q4-23-PayPal-Earnings-Release.pdf</w:t>
      </w:r>
    </w:p>
    <w:p w14:paraId="00757D73" w14:textId="77777777" w:rsidR="00A70719" w:rsidRPr="002C4EAE" w:rsidRDefault="004E12F5" w:rsidP="002C4EAE">
      <w:pPr>
        <w:pStyle w:val="ListParagraph"/>
        <w:numPr>
          <w:ilvl w:val="0"/>
          <w:numId w:val="8"/>
        </w:numPr>
        <w:pBdr>
          <w:top w:val="nil"/>
          <w:left w:val="nil"/>
          <w:bottom w:val="nil"/>
          <w:right w:val="nil"/>
          <w:between w:val="nil"/>
        </w:pBdr>
        <w:shd w:val="clear" w:color="auto" w:fill="FFFFFF"/>
        <w:spacing w:after="0" w:line="276" w:lineRule="auto"/>
        <w:ind w:left="360"/>
        <w:rPr>
          <w:rFonts w:ascii="Roboto" w:eastAsia="Roboto" w:hAnsi="Roboto" w:cs="Roboto"/>
          <w:sz w:val="24"/>
          <w:szCs w:val="24"/>
        </w:rPr>
      </w:pPr>
      <w:r w:rsidRPr="002C4EAE">
        <w:rPr>
          <w:sz w:val="24"/>
          <w:szCs w:val="24"/>
        </w:rPr>
        <w:t>10 Cybersecurity Predictions. (n.d.). ACI Worldwide. Retrieved March 17, 2024, from https://www.aciworldwide.com/blog/10-cybersecurity-predictions-for-2022</w:t>
      </w:r>
    </w:p>
    <w:p w14:paraId="365A52A2" w14:textId="77777777" w:rsidR="00A70719" w:rsidRPr="002C4EAE" w:rsidRDefault="004E12F5" w:rsidP="002C4EAE">
      <w:pPr>
        <w:pStyle w:val="ListParagraph"/>
        <w:numPr>
          <w:ilvl w:val="0"/>
          <w:numId w:val="8"/>
        </w:numPr>
        <w:pBdr>
          <w:top w:val="nil"/>
          <w:left w:val="nil"/>
          <w:bottom w:val="nil"/>
          <w:right w:val="nil"/>
          <w:between w:val="nil"/>
        </w:pBdr>
        <w:shd w:val="clear" w:color="auto" w:fill="FFFFFF"/>
        <w:spacing w:after="0" w:line="276" w:lineRule="auto"/>
        <w:ind w:left="360"/>
        <w:rPr>
          <w:rFonts w:ascii="Roboto" w:eastAsia="Roboto" w:hAnsi="Roboto" w:cs="Roboto"/>
          <w:sz w:val="24"/>
          <w:szCs w:val="24"/>
        </w:rPr>
      </w:pPr>
      <w:r w:rsidRPr="002C4EAE">
        <w:rPr>
          <w:sz w:val="24"/>
          <w:szCs w:val="24"/>
        </w:rPr>
        <w:t xml:space="preserve">Wei, W. (2017, December 4). PayPal Subsidiary Data Breach of 2017. The Hacker News. </w:t>
      </w:r>
      <w:r w:rsidRPr="002C4EAE">
        <w:rPr>
          <w:sz w:val="24"/>
          <w:szCs w:val="24"/>
        </w:rPr>
        <w:t>https://thehackernews.com/2017/12/paypal-tio-data-breach.html</w:t>
      </w:r>
    </w:p>
    <w:p w14:paraId="4220F0FC" w14:textId="77777777" w:rsidR="00A70719" w:rsidRPr="002C4EAE" w:rsidRDefault="00A70719" w:rsidP="002C4EAE">
      <w:pPr>
        <w:pBdr>
          <w:top w:val="nil"/>
          <w:left w:val="nil"/>
          <w:bottom w:val="nil"/>
          <w:right w:val="nil"/>
          <w:between w:val="nil"/>
        </w:pBdr>
        <w:shd w:val="clear" w:color="auto" w:fill="FFFFFF"/>
        <w:spacing w:before="300" w:after="0" w:line="276" w:lineRule="auto"/>
        <w:rPr>
          <w:rFonts w:ascii="Roboto" w:eastAsia="Roboto" w:hAnsi="Roboto" w:cs="Roboto"/>
          <w:sz w:val="24"/>
          <w:szCs w:val="24"/>
        </w:rPr>
      </w:pPr>
    </w:p>
    <w:sectPr w:rsidR="00A70719" w:rsidRPr="002C4EAE">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9BCD32" w14:textId="77777777" w:rsidR="004E12F5" w:rsidRDefault="004E12F5">
      <w:pPr>
        <w:spacing w:after="0" w:line="240" w:lineRule="auto"/>
      </w:pPr>
      <w:r>
        <w:separator/>
      </w:r>
    </w:p>
  </w:endnote>
  <w:endnote w:type="continuationSeparator" w:id="0">
    <w:p w14:paraId="2C2C35BD" w14:textId="77777777" w:rsidR="004E12F5" w:rsidRDefault="004E1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D309E0" w14:textId="77777777" w:rsidR="004E12F5" w:rsidRDefault="004E12F5">
      <w:pPr>
        <w:spacing w:after="0" w:line="240" w:lineRule="auto"/>
      </w:pPr>
      <w:r>
        <w:separator/>
      </w:r>
    </w:p>
  </w:footnote>
  <w:footnote w:type="continuationSeparator" w:id="0">
    <w:p w14:paraId="47A3BA38" w14:textId="77777777" w:rsidR="004E12F5" w:rsidRDefault="004E12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6B125"/>
    <w:multiLevelType w:val="hybridMultilevel"/>
    <w:tmpl w:val="00000000"/>
    <w:lvl w:ilvl="0" w:tplc="2D56B1B6">
      <w:start w:val="1"/>
      <w:numFmt w:val="bullet"/>
      <w:lvlText w:val="●"/>
      <w:lvlJc w:val="left"/>
      <w:pPr>
        <w:ind w:left="720" w:hanging="360"/>
      </w:pPr>
      <w:rPr>
        <w:rFonts w:ascii="Roboto" w:eastAsia="Roboto" w:hAnsi="Roboto" w:cs="Roboto"/>
        <w:u w:val="none"/>
      </w:rPr>
    </w:lvl>
    <w:lvl w:ilvl="1" w:tplc="241A6AA4">
      <w:start w:val="1"/>
      <w:numFmt w:val="bullet"/>
      <w:lvlText w:val="○"/>
      <w:lvlJc w:val="left"/>
      <w:pPr>
        <w:ind w:left="1440" w:hanging="360"/>
      </w:pPr>
      <w:rPr>
        <w:u w:val="none"/>
      </w:rPr>
    </w:lvl>
    <w:lvl w:ilvl="2" w:tplc="A448C946">
      <w:start w:val="1"/>
      <w:numFmt w:val="bullet"/>
      <w:lvlText w:val="■"/>
      <w:lvlJc w:val="left"/>
      <w:pPr>
        <w:ind w:left="2160" w:hanging="360"/>
      </w:pPr>
      <w:rPr>
        <w:u w:val="none"/>
      </w:rPr>
    </w:lvl>
    <w:lvl w:ilvl="3" w:tplc="07BAC544">
      <w:start w:val="1"/>
      <w:numFmt w:val="bullet"/>
      <w:lvlText w:val="●"/>
      <w:lvlJc w:val="left"/>
      <w:pPr>
        <w:ind w:left="2880" w:hanging="360"/>
      </w:pPr>
      <w:rPr>
        <w:u w:val="none"/>
      </w:rPr>
    </w:lvl>
    <w:lvl w:ilvl="4" w:tplc="57B40F0A">
      <w:start w:val="1"/>
      <w:numFmt w:val="bullet"/>
      <w:lvlText w:val="○"/>
      <w:lvlJc w:val="left"/>
      <w:pPr>
        <w:ind w:left="3600" w:hanging="360"/>
      </w:pPr>
      <w:rPr>
        <w:u w:val="none"/>
      </w:rPr>
    </w:lvl>
    <w:lvl w:ilvl="5" w:tplc="30AA36FE">
      <w:start w:val="1"/>
      <w:numFmt w:val="bullet"/>
      <w:lvlText w:val="■"/>
      <w:lvlJc w:val="left"/>
      <w:pPr>
        <w:ind w:left="4320" w:hanging="360"/>
      </w:pPr>
      <w:rPr>
        <w:u w:val="none"/>
      </w:rPr>
    </w:lvl>
    <w:lvl w:ilvl="6" w:tplc="110A042E">
      <w:start w:val="1"/>
      <w:numFmt w:val="bullet"/>
      <w:lvlText w:val="●"/>
      <w:lvlJc w:val="left"/>
      <w:pPr>
        <w:ind w:left="5040" w:hanging="360"/>
      </w:pPr>
      <w:rPr>
        <w:u w:val="none"/>
      </w:rPr>
    </w:lvl>
    <w:lvl w:ilvl="7" w:tplc="B2E20FF0">
      <w:start w:val="1"/>
      <w:numFmt w:val="bullet"/>
      <w:lvlText w:val="○"/>
      <w:lvlJc w:val="left"/>
      <w:pPr>
        <w:ind w:left="5760" w:hanging="360"/>
      </w:pPr>
      <w:rPr>
        <w:u w:val="none"/>
      </w:rPr>
    </w:lvl>
    <w:lvl w:ilvl="8" w:tplc="D8327F46">
      <w:start w:val="1"/>
      <w:numFmt w:val="bullet"/>
      <w:lvlText w:val="■"/>
      <w:lvlJc w:val="left"/>
      <w:pPr>
        <w:ind w:left="6480" w:hanging="360"/>
      </w:pPr>
      <w:rPr>
        <w:u w:val="none"/>
      </w:rPr>
    </w:lvl>
  </w:abstractNum>
  <w:abstractNum w:abstractNumId="1" w15:restartNumberingAfterBreak="0">
    <w:nsid w:val="121B11CA"/>
    <w:multiLevelType w:val="hybridMultilevel"/>
    <w:tmpl w:val="00000000"/>
    <w:lvl w:ilvl="0" w:tplc="56902746">
      <w:start w:val="1"/>
      <w:numFmt w:val="bullet"/>
      <w:lvlText w:val="●"/>
      <w:lvlJc w:val="left"/>
      <w:pPr>
        <w:ind w:left="720" w:hanging="360"/>
      </w:pPr>
      <w:rPr>
        <w:u w:val="none"/>
      </w:rPr>
    </w:lvl>
    <w:lvl w:ilvl="1" w:tplc="2BEC4B08">
      <w:start w:val="1"/>
      <w:numFmt w:val="bullet"/>
      <w:lvlText w:val="○"/>
      <w:lvlJc w:val="left"/>
      <w:pPr>
        <w:ind w:left="1440" w:hanging="360"/>
      </w:pPr>
      <w:rPr>
        <w:u w:val="none"/>
      </w:rPr>
    </w:lvl>
    <w:lvl w:ilvl="2" w:tplc="D6B8D5EC">
      <w:start w:val="1"/>
      <w:numFmt w:val="bullet"/>
      <w:lvlText w:val="■"/>
      <w:lvlJc w:val="left"/>
      <w:pPr>
        <w:ind w:left="2160" w:hanging="360"/>
      </w:pPr>
      <w:rPr>
        <w:u w:val="none"/>
      </w:rPr>
    </w:lvl>
    <w:lvl w:ilvl="3" w:tplc="4A0076EA">
      <w:start w:val="1"/>
      <w:numFmt w:val="bullet"/>
      <w:lvlText w:val="●"/>
      <w:lvlJc w:val="left"/>
      <w:pPr>
        <w:ind w:left="2880" w:hanging="360"/>
      </w:pPr>
      <w:rPr>
        <w:u w:val="none"/>
      </w:rPr>
    </w:lvl>
    <w:lvl w:ilvl="4" w:tplc="6A8E68E6">
      <w:start w:val="1"/>
      <w:numFmt w:val="bullet"/>
      <w:lvlText w:val="○"/>
      <w:lvlJc w:val="left"/>
      <w:pPr>
        <w:ind w:left="3600" w:hanging="360"/>
      </w:pPr>
      <w:rPr>
        <w:u w:val="none"/>
      </w:rPr>
    </w:lvl>
    <w:lvl w:ilvl="5" w:tplc="9BE8BE40">
      <w:start w:val="1"/>
      <w:numFmt w:val="bullet"/>
      <w:lvlText w:val="■"/>
      <w:lvlJc w:val="left"/>
      <w:pPr>
        <w:ind w:left="4320" w:hanging="360"/>
      </w:pPr>
      <w:rPr>
        <w:u w:val="none"/>
      </w:rPr>
    </w:lvl>
    <w:lvl w:ilvl="6" w:tplc="174E61AC">
      <w:start w:val="1"/>
      <w:numFmt w:val="bullet"/>
      <w:lvlText w:val="●"/>
      <w:lvlJc w:val="left"/>
      <w:pPr>
        <w:ind w:left="5040" w:hanging="360"/>
      </w:pPr>
      <w:rPr>
        <w:u w:val="none"/>
      </w:rPr>
    </w:lvl>
    <w:lvl w:ilvl="7" w:tplc="9DBA7728">
      <w:start w:val="1"/>
      <w:numFmt w:val="bullet"/>
      <w:lvlText w:val="○"/>
      <w:lvlJc w:val="left"/>
      <w:pPr>
        <w:ind w:left="5760" w:hanging="360"/>
      </w:pPr>
      <w:rPr>
        <w:u w:val="none"/>
      </w:rPr>
    </w:lvl>
    <w:lvl w:ilvl="8" w:tplc="A484CF70">
      <w:start w:val="1"/>
      <w:numFmt w:val="bullet"/>
      <w:lvlText w:val="■"/>
      <w:lvlJc w:val="left"/>
      <w:pPr>
        <w:ind w:left="6480" w:hanging="360"/>
      </w:pPr>
      <w:rPr>
        <w:u w:val="none"/>
      </w:rPr>
    </w:lvl>
  </w:abstractNum>
  <w:abstractNum w:abstractNumId="2" w15:restartNumberingAfterBreak="0">
    <w:nsid w:val="2399E79E"/>
    <w:multiLevelType w:val="hybridMultilevel"/>
    <w:tmpl w:val="00000000"/>
    <w:lvl w:ilvl="0" w:tplc="28E673CE">
      <w:start w:val="1"/>
      <w:numFmt w:val="bullet"/>
      <w:lvlText w:val="●"/>
      <w:lvlJc w:val="left"/>
      <w:pPr>
        <w:ind w:left="720" w:hanging="360"/>
      </w:pPr>
      <w:rPr>
        <w:rFonts w:ascii="Roboto" w:eastAsia="Roboto" w:hAnsi="Roboto" w:cs="Roboto"/>
        <w:u w:val="none"/>
      </w:rPr>
    </w:lvl>
    <w:lvl w:ilvl="1" w:tplc="024443EE">
      <w:start w:val="1"/>
      <w:numFmt w:val="bullet"/>
      <w:lvlText w:val="○"/>
      <w:lvlJc w:val="left"/>
      <w:pPr>
        <w:ind w:left="1440" w:hanging="360"/>
      </w:pPr>
      <w:rPr>
        <w:u w:val="none"/>
      </w:rPr>
    </w:lvl>
    <w:lvl w:ilvl="2" w:tplc="6E622C9C">
      <w:start w:val="1"/>
      <w:numFmt w:val="bullet"/>
      <w:lvlText w:val="■"/>
      <w:lvlJc w:val="left"/>
      <w:pPr>
        <w:ind w:left="2160" w:hanging="360"/>
      </w:pPr>
      <w:rPr>
        <w:u w:val="none"/>
      </w:rPr>
    </w:lvl>
    <w:lvl w:ilvl="3" w:tplc="D8166A00">
      <w:start w:val="1"/>
      <w:numFmt w:val="bullet"/>
      <w:lvlText w:val="●"/>
      <w:lvlJc w:val="left"/>
      <w:pPr>
        <w:ind w:left="2880" w:hanging="360"/>
      </w:pPr>
      <w:rPr>
        <w:u w:val="none"/>
      </w:rPr>
    </w:lvl>
    <w:lvl w:ilvl="4" w:tplc="ED08CFE8">
      <w:start w:val="1"/>
      <w:numFmt w:val="bullet"/>
      <w:lvlText w:val="○"/>
      <w:lvlJc w:val="left"/>
      <w:pPr>
        <w:ind w:left="3600" w:hanging="360"/>
      </w:pPr>
      <w:rPr>
        <w:u w:val="none"/>
      </w:rPr>
    </w:lvl>
    <w:lvl w:ilvl="5" w:tplc="9FDAF20A">
      <w:start w:val="1"/>
      <w:numFmt w:val="bullet"/>
      <w:lvlText w:val="■"/>
      <w:lvlJc w:val="left"/>
      <w:pPr>
        <w:ind w:left="4320" w:hanging="360"/>
      </w:pPr>
      <w:rPr>
        <w:u w:val="none"/>
      </w:rPr>
    </w:lvl>
    <w:lvl w:ilvl="6" w:tplc="18FE0866">
      <w:start w:val="1"/>
      <w:numFmt w:val="bullet"/>
      <w:lvlText w:val="●"/>
      <w:lvlJc w:val="left"/>
      <w:pPr>
        <w:ind w:left="5040" w:hanging="360"/>
      </w:pPr>
      <w:rPr>
        <w:u w:val="none"/>
      </w:rPr>
    </w:lvl>
    <w:lvl w:ilvl="7" w:tplc="B122D4BA">
      <w:start w:val="1"/>
      <w:numFmt w:val="bullet"/>
      <w:lvlText w:val="○"/>
      <w:lvlJc w:val="left"/>
      <w:pPr>
        <w:ind w:left="5760" w:hanging="360"/>
      </w:pPr>
      <w:rPr>
        <w:u w:val="none"/>
      </w:rPr>
    </w:lvl>
    <w:lvl w:ilvl="8" w:tplc="9FE6D60A">
      <w:start w:val="1"/>
      <w:numFmt w:val="bullet"/>
      <w:lvlText w:val="■"/>
      <w:lvlJc w:val="left"/>
      <w:pPr>
        <w:ind w:left="6480" w:hanging="360"/>
      </w:pPr>
      <w:rPr>
        <w:u w:val="none"/>
      </w:rPr>
    </w:lvl>
  </w:abstractNum>
  <w:abstractNum w:abstractNumId="3" w15:restartNumberingAfterBreak="0">
    <w:nsid w:val="2ABF73D6"/>
    <w:multiLevelType w:val="hybridMultilevel"/>
    <w:tmpl w:val="00000000"/>
    <w:lvl w:ilvl="0" w:tplc="2DDE00A6">
      <w:start w:val="1"/>
      <w:numFmt w:val="bullet"/>
      <w:lvlText w:val="●"/>
      <w:lvlJc w:val="left"/>
      <w:pPr>
        <w:ind w:left="720" w:hanging="360"/>
      </w:pPr>
      <w:rPr>
        <w:rFonts w:ascii="Roboto" w:eastAsia="Roboto" w:hAnsi="Roboto" w:cs="Roboto"/>
        <w:u w:val="none"/>
      </w:rPr>
    </w:lvl>
    <w:lvl w:ilvl="1" w:tplc="29C0F49C">
      <w:start w:val="1"/>
      <w:numFmt w:val="bullet"/>
      <w:lvlText w:val="○"/>
      <w:lvlJc w:val="left"/>
      <w:pPr>
        <w:ind w:left="1440" w:hanging="360"/>
      </w:pPr>
      <w:rPr>
        <w:u w:val="none"/>
      </w:rPr>
    </w:lvl>
    <w:lvl w:ilvl="2" w:tplc="8F7618EC">
      <w:start w:val="1"/>
      <w:numFmt w:val="bullet"/>
      <w:lvlText w:val="■"/>
      <w:lvlJc w:val="left"/>
      <w:pPr>
        <w:ind w:left="2160" w:hanging="360"/>
      </w:pPr>
      <w:rPr>
        <w:u w:val="none"/>
      </w:rPr>
    </w:lvl>
    <w:lvl w:ilvl="3" w:tplc="906613DA">
      <w:start w:val="1"/>
      <w:numFmt w:val="bullet"/>
      <w:lvlText w:val="●"/>
      <w:lvlJc w:val="left"/>
      <w:pPr>
        <w:ind w:left="2880" w:hanging="360"/>
      </w:pPr>
      <w:rPr>
        <w:u w:val="none"/>
      </w:rPr>
    </w:lvl>
    <w:lvl w:ilvl="4" w:tplc="D08C20E2">
      <w:start w:val="1"/>
      <w:numFmt w:val="bullet"/>
      <w:lvlText w:val="○"/>
      <w:lvlJc w:val="left"/>
      <w:pPr>
        <w:ind w:left="3600" w:hanging="360"/>
      </w:pPr>
      <w:rPr>
        <w:u w:val="none"/>
      </w:rPr>
    </w:lvl>
    <w:lvl w:ilvl="5" w:tplc="FB768638">
      <w:start w:val="1"/>
      <w:numFmt w:val="bullet"/>
      <w:lvlText w:val="■"/>
      <w:lvlJc w:val="left"/>
      <w:pPr>
        <w:ind w:left="4320" w:hanging="360"/>
      </w:pPr>
      <w:rPr>
        <w:u w:val="none"/>
      </w:rPr>
    </w:lvl>
    <w:lvl w:ilvl="6" w:tplc="9DF06EA0">
      <w:start w:val="1"/>
      <w:numFmt w:val="bullet"/>
      <w:lvlText w:val="●"/>
      <w:lvlJc w:val="left"/>
      <w:pPr>
        <w:ind w:left="5040" w:hanging="360"/>
      </w:pPr>
      <w:rPr>
        <w:u w:val="none"/>
      </w:rPr>
    </w:lvl>
    <w:lvl w:ilvl="7" w:tplc="885251AC">
      <w:start w:val="1"/>
      <w:numFmt w:val="bullet"/>
      <w:lvlText w:val="○"/>
      <w:lvlJc w:val="left"/>
      <w:pPr>
        <w:ind w:left="5760" w:hanging="360"/>
      </w:pPr>
      <w:rPr>
        <w:u w:val="none"/>
      </w:rPr>
    </w:lvl>
    <w:lvl w:ilvl="8" w:tplc="AD8EA20A">
      <w:start w:val="1"/>
      <w:numFmt w:val="bullet"/>
      <w:lvlText w:val="■"/>
      <w:lvlJc w:val="left"/>
      <w:pPr>
        <w:ind w:left="6480" w:hanging="360"/>
      </w:pPr>
      <w:rPr>
        <w:u w:val="none"/>
      </w:rPr>
    </w:lvl>
  </w:abstractNum>
  <w:abstractNum w:abstractNumId="4" w15:restartNumberingAfterBreak="0">
    <w:nsid w:val="5451FF1E"/>
    <w:multiLevelType w:val="hybridMultilevel"/>
    <w:tmpl w:val="00000000"/>
    <w:lvl w:ilvl="0" w:tplc="B8F65E4C">
      <w:start w:val="1"/>
      <w:numFmt w:val="bullet"/>
      <w:lvlText w:val="●"/>
      <w:lvlJc w:val="left"/>
      <w:pPr>
        <w:ind w:left="720" w:hanging="360"/>
      </w:pPr>
      <w:rPr>
        <w:u w:val="none"/>
      </w:rPr>
    </w:lvl>
    <w:lvl w:ilvl="1" w:tplc="2410D09C">
      <w:start w:val="1"/>
      <w:numFmt w:val="bullet"/>
      <w:lvlText w:val="○"/>
      <w:lvlJc w:val="left"/>
      <w:pPr>
        <w:ind w:left="1440" w:hanging="360"/>
      </w:pPr>
      <w:rPr>
        <w:u w:val="none"/>
      </w:rPr>
    </w:lvl>
    <w:lvl w:ilvl="2" w:tplc="67665326">
      <w:start w:val="1"/>
      <w:numFmt w:val="bullet"/>
      <w:lvlText w:val="■"/>
      <w:lvlJc w:val="left"/>
      <w:pPr>
        <w:ind w:left="2160" w:hanging="360"/>
      </w:pPr>
      <w:rPr>
        <w:u w:val="none"/>
      </w:rPr>
    </w:lvl>
    <w:lvl w:ilvl="3" w:tplc="573AAF0A">
      <w:start w:val="1"/>
      <w:numFmt w:val="bullet"/>
      <w:lvlText w:val="●"/>
      <w:lvlJc w:val="left"/>
      <w:pPr>
        <w:ind w:left="2880" w:hanging="360"/>
      </w:pPr>
      <w:rPr>
        <w:u w:val="none"/>
      </w:rPr>
    </w:lvl>
    <w:lvl w:ilvl="4" w:tplc="90D6C5DA">
      <w:start w:val="1"/>
      <w:numFmt w:val="bullet"/>
      <w:lvlText w:val="○"/>
      <w:lvlJc w:val="left"/>
      <w:pPr>
        <w:ind w:left="3600" w:hanging="360"/>
      </w:pPr>
      <w:rPr>
        <w:u w:val="none"/>
      </w:rPr>
    </w:lvl>
    <w:lvl w:ilvl="5" w:tplc="BE66E626">
      <w:start w:val="1"/>
      <w:numFmt w:val="bullet"/>
      <w:lvlText w:val="■"/>
      <w:lvlJc w:val="left"/>
      <w:pPr>
        <w:ind w:left="4320" w:hanging="360"/>
      </w:pPr>
      <w:rPr>
        <w:u w:val="none"/>
      </w:rPr>
    </w:lvl>
    <w:lvl w:ilvl="6" w:tplc="068EDBC8">
      <w:start w:val="1"/>
      <w:numFmt w:val="bullet"/>
      <w:lvlText w:val="●"/>
      <w:lvlJc w:val="left"/>
      <w:pPr>
        <w:ind w:left="5040" w:hanging="360"/>
      </w:pPr>
      <w:rPr>
        <w:u w:val="none"/>
      </w:rPr>
    </w:lvl>
    <w:lvl w:ilvl="7" w:tplc="4BEC2DF2">
      <w:start w:val="1"/>
      <w:numFmt w:val="bullet"/>
      <w:lvlText w:val="○"/>
      <w:lvlJc w:val="left"/>
      <w:pPr>
        <w:ind w:left="5760" w:hanging="360"/>
      </w:pPr>
      <w:rPr>
        <w:u w:val="none"/>
      </w:rPr>
    </w:lvl>
    <w:lvl w:ilvl="8" w:tplc="ED383716">
      <w:start w:val="1"/>
      <w:numFmt w:val="bullet"/>
      <w:lvlText w:val="■"/>
      <w:lvlJc w:val="left"/>
      <w:pPr>
        <w:ind w:left="6480" w:hanging="360"/>
      </w:pPr>
      <w:rPr>
        <w:u w:val="none"/>
      </w:rPr>
    </w:lvl>
  </w:abstractNum>
  <w:abstractNum w:abstractNumId="5" w15:restartNumberingAfterBreak="0">
    <w:nsid w:val="641E2CB4"/>
    <w:multiLevelType w:val="hybridMultilevel"/>
    <w:tmpl w:val="7E6EE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59656D6"/>
    <w:multiLevelType w:val="hybridMultilevel"/>
    <w:tmpl w:val="00000000"/>
    <w:lvl w:ilvl="0" w:tplc="D0E20CA0">
      <w:start w:val="1"/>
      <w:numFmt w:val="bullet"/>
      <w:lvlText w:val="●"/>
      <w:lvlJc w:val="left"/>
      <w:pPr>
        <w:ind w:left="720" w:hanging="360"/>
      </w:pPr>
      <w:rPr>
        <w:u w:val="none"/>
      </w:rPr>
    </w:lvl>
    <w:lvl w:ilvl="1" w:tplc="9F063864">
      <w:start w:val="1"/>
      <w:numFmt w:val="bullet"/>
      <w:lvlText w:val="○"/>
      <w:lvlJc w:val="left"/>
      <w:pPr>
        <w:ind w:left="1440" w:hanging="360"/>
      </w:pPr>
      <w:rPr>
        <w:u w:val="none"/>
      </w:rPr>
    </w:lvl>
    <w:lvl w:ilvl="2" w:tplc="B97EAAF6">
      <w:start w:val="1"/>
      <w:numFmt w:val="bullet"/>
      <w:lvlText w:val="■"/>
      <w:lvlJc w:val="left"/>
      <w:pPr>
        <w:ind w:left="2160" w:hanging="360"/>
      </w:pPr>
      <w:rPr>
        <w:u w:val="none"/>
      </w:rPr>
    </w:lvl>
    <w:lvl w:ilvl="3" w:tplc="50401BD0">
      <w:start w:val="1"/>
      <w:numFmt w:val="bullet"/>
      <w:lvlText w:val="●"/>
      <w:lvlJc w:val="left"/>
      <w:pPr>
        <w:ind w:left="2880" w:hanging="360"/>
      </w:pPr>
      <w:rPr>
        <w:u w:val="none"/>
      </w:rPr>
    </w:lvl>
    <w:lvl w:ilvl="4" w:tplc="678A95E0">
      <w:start w:val="1"/>
      <w:numFmt w:val="bullet"/>
      <w:lvlText w:val="○"/>
      <w:lvlJc w:val="left"/>
      <w:pPr>
        <w:ind w:left="3600" w:hanging="360"/>
      </w:pPr>
      <w:rPr>
        <w:u w:val="none"/>
      </w:rPr>
    </w:lvl>
    <w:lvl w:ilvl="5" w:tplc="1902CD40">
      <w:start w:val="1"/>
      <w:numFmt w:val="bullet"/>
      <w:lvlText w:val="■"/>
      <w:lvlJc w:val="left"/>
      <w:pPr>
        <w:ind w:left="4320" w:hanging="360"/>
      </w:pPr>
      <w:rPr>
        <w:u w:val="none"/>
      </w:rPr>
    </w:lvl>
    <w:lvl w:ilvl="6" w:tplc="A866F490">
      <w:start w:val="1"/>
      <w:numFmt w:val="bullet"/>
      <w:lvlText w:val="●"/>
      <w:lvlJc w:val="left"/>
      <w:pPr>
        <w:ind w:left="5040" w:hanging="360"/>
      </w:pPr>
      <w:rPr>
        <w:u w:val="none"/>
      </w:rPr>
    </w:lvl>
    <w:lvl w:ilvl="7" w:tplc="DA9C3932">
      <w:start w:val="1"/>
      <w:numFmt w:val="bullet"/>
      <w:lvlText w:val="○"/>
      <w:lvlJc w:val="left"/>
      <w:pPr>
        <w:ind w:left="5760" w:hanging="360"/>
      </w:pPr>
      <w:rPr>
        <w:u w:val="none"/>
      </w:rPr>
    </w:lvl>
    <w:lvl w:ilvl="8" w:tplc="B7E450AC">
      <w:start w:val="1"/>
      <w:numFmt w:val="bullet"/>
      <w:lvlText w:val="■"/>
      <w:lvlJc w:val="left"/>
      <w:pPr>
        <w:ind w:left="6480" w:hanging="360"/>
      </w:pPr>
      <w:rPr>
        <w:u w:val="none"/>
      </w:rPr>
    </w:lvl>
  </w:abstractNum>
  <w:abstractNum w:abstractNumId="7" w15:restartNumberingAfterBreak="0">
    <w:nsid w:val="77799495"/>
    <w:multiLevelType w:val="hybridMultilevel"/>
    <w:tmpl w:val="00000000"/>
    <w:lvl w:ilvl="0" w:tplc="A2CE2710">
      <w:start w:val="1"/>
      <w:numFmt w:val="bullet"/>
      <w:lvlText w:val="●"/>
      <w:lvlJc w:val="left"/>
      <w:pPr>
        <w:ind w:left="720" w:hanging="360"/>
      </w:pPr>
      <w:rPr>
        <w:rFonts w:ascii="Roboto" w:eastAsia="Roboto" w:hAnsi="Roboto" w:cs="Roboto"/>
        <w:u w:val="none"/>
      </w:rPr>
    </w:lvl>
    <w:lvl w:ilvl="1" w:tplc="F7FC4AE6">
      <w:start w:val="1"/>
      <w:numFmt w:val="bullet"/>
      <w:lvlText w:val="○"/>
      <w:lvlJc w:val="left"/>
      <w:pPr>
        <w:ind w:left="1440" w:hanging="360"/>
      </w:pPr>
      <w:rPr>
        <w:u w:val="none"/>
      </w:rPr>
    </w:lvl>
    <w:lvl w:ilvl="2" w:tplc="D3423430">
      <w:start w:val="1"/>
      <w:numFmt w:val="bullet"/>
      <w:lvlText w:val="■"/>
      <w:lvlJc w:val="left"/>
      <w:pPr>
        <w:ind w:left="2160" w:hanging="360"/>
      </w:pPr>
      <w:rPr>
        <w:u w:val="none"/>
      </w:rPr>
    </w:lvl>
    <w:lvl w:ilvl="3" w:tplc="5DA2A70E">
      <w:start w:val="1"/>
      <w:numFmt w:val="bullet"/>
      <w:lvlText w:val="●"/>
      <w:lvlJc w:val="left"/>
      <w:pPr>
        <w:ind w:left="2880" w:hanging="360"/>
      </w:pPr>
      <w:rPr>
        <w:u w:val="none"/>
      </w:rPr>
    </w:lvl>
    <w:lvl w:ilvl="4" w:tplc="48B01098">
      <w:start w:val="1"/>
      <w:numFmt w:val="bullet"/>
      <w:lvlText w:val="○"/>
      <w:lvlJc w:val="left"/>
      <w:pPr>
        <w:ind w:left="3600" w:hanging="360"/>
      </w:pPr>
      <w:rPr>
        <w:u w:val="none"/>
      </w:rPr>
    </w:lvl>
    <w:lvl w:ilvl="5" w:tplc="03645728">
      <w:start w:val="1"/>
      <w:numFmt w:val="bullet"/>
      <w:lvlText w:val="■"/>
      <w:lvlJc w:val="left"/>
      <w:pPr>
        <w:ind w:left="4320" w:hanging="360"/>
      </w:pPr>
      <w:rPr>
        <w:u w:val="none"/>
      </w:rPr>
    </w:lvl>
    <w:lvl w:ilvl="6" w:tplc="2AF45DE0">
      <w:start w:val="1"/>
      <w:numFmt w:val="bullet"/>
      <w:lvlText w:val="●"/>
      <w:lvlJc w:val="left"/>
      <w:pPr>
        <w:ind w:left="5040" w:hanging="360"/>
      </w:pPr>
      <w:rPr>
        <w:u w:val="none"/>
      </w:rPr>
    </w:lvl>
    <w:lvl w:ilvl="7" w:tplc="D3DAF5B4">
      <w:start w:val="1"/>
      <w:numFmt w:val="bullet"/>
      <w:lvlText w:val="○"/>
      <w:lvlJc w:val="left"/>
      <w:pPr>
        <w:ind w:left="5760" w:hanging="360"/>
      </w:pPr>
      <w:rPr>
        <w:u w:val="none"/>
      </w:rPr>
    </w:lvl>
    <w:lvl w:ilvl="8" w:tplc="93B039DE">
      <w:start w:val="1"/>
      <w:numFmt w:val="bullet"/>
      <w:lvlText w:val="■"/>
      <w:lvlJc w:val="left"/>
      <w:pPr>
        <w:ind w:left="6480" w:hanging="360"/>
      </w:pPr>
      <w:rPr>
        <w:u w:val="none"/>
      </w:rPr>
    </w:lvl>
  </w:abstractNum>
  <w:num w:numId="1" w16cid:durableId="186993581">
    <w:abstractNumId w:val="2"/>
  </w:num>
  <w:num w:numId="2" w16cid:durableId="1463692363">
    <w:abstractNumId w:val="7"/>
  </w:num>
  <w:num w:numId="3" w16cid:durableId="1618178517">
    <w:abstractNumId w:val="4"/>
  </w:num>
  <w:num w:numId="4" w16cid:durableId="462843664">
    <w:abstractNumId w:val="1"/>
  </w:num>
  <w:num w:numId="5" w16cid:durableId="1340739389">
    <w:abstractNumId w:val="6"/>
  </w:num>
  <w:num w:numId="6" w16cid:durableId="1681541315">
    <w:abstractNumId w:val="3"/>
  </w:num>
  <w:num w:numId="7" w16cid:durableId="352347737">
    <w:abstractNumId w:val="0"/>
  </w:num>
  <w:num w:numId="8" w16cid:durableId="16842361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719"/>
    <w:rsid w:val="00216D77"/>
    <w:rsid w:val="002C4EAE"/>
    <w:rsid w:val="003C1475"/>
    <w:rsid w:val="004E12F5"/>
    <w:rsid w:val="005366DB"/>
    <w:rsid w:val="00A7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0352A"/>
  <w15:docId w15:val="{C8752F53-52C1-4E41-ABED-527EBE9A7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0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A50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A50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50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50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50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50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50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50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A50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A50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A50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50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50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50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50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50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504D"/>
    <w:rPr>
      <w:rFonts w:eastAsiaTheme="majorEastAsia" w:cstheme="majorBidi"/>
      <w:color w:val="272727" w:themeColor="text1" w:themeTint="D8"/>
    </w:rPr>
  </w:style>
  <w:style w:type="paragraph" w:styleId="Title">
    <w:name w:val="Title"/>
    <w:basedOn w:val="Normal"/>
    <w:next w:val="Normal"/>
    <w:link w:val="TitleChar"/>
    <w:uiPriority w:val="10"/>
    <w:qFormat/>
    <w:rsid w:val="00FA50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04D"/>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FA50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504D"/>
    <w:pPr>
      <w:spacing w:before="160"/>
      <w:jc w:val="center"/>
    </w:pPr>
    <w:rPr>
      <w:i/>
      <w:iCs/>
      <w:color w:val="404040" w:themeColor="text1" w:themeTint="BF"/>
    </w:rPr>
  </w:style>
  <w:style w:type="character" w:customStyle="1" w:styleId="QuoteChar">
    <w:name w:val="Quote Char"/>
    <w:basedOn w:val="DefaultParagraphFont"/>
    <w:link w:val="Quote"/>
    <w:uiPriority w:val="29"/>
    <w:rsid w:val="00FA504D"/>
    <w:rPr>
      <w:i/>
      <w:iCs/>
      <w:color w:val="404040" w:themeColor="text1" w:themeTint="BF"/>
    </w:rPr>
  </w:style>
  <w:style w:type="paragraph" w:styleId="ListParagraph">
    <w:name w:val="List Paragraph"/>
    <w:basedOn w:val="Normal"/>
    <w:uiPriority w:val="34"/>
    <w:qFormat/>
    <w:rsid w:val="00FA504D"/>
    <w:pPr>
      <w:ind w:left="720"/>
      <w:contextualSpacing/>
    </w:pPr>
  </w:style>
  <w:style w:type="character" w:styleId="IntenseEmphasis">
    <w:name w:val="Intense Emphasis"/>
    <w:basedOn w:val="DefaultParagraphFont"/>
    <w:uiPriority w:val="21"/>
    <w:qFormat/>
    <w:rsid w:val="00FA504D"/>
    <w:rPr>
      <w:i/>
      <w:iCs/>
      <w:color w:val="0F4761" w:themeColor="accent1" w:themeShade="BF"/>
    </w:rPr>
  </w:style>
  <w:style w:type="paragraph" w:styleId="IntenseQuote">
    <w:name w:val="Intense Quote"/>
    <w:basedOn w:val="Normal"/>
    <w:next w:val="Normal"/>
    <w:link w:val="IntenseQuoteChar"/>
    <w:uiPriority w:val="30"/>
    <w:qFormat/>
    <w:rsid w:val="00FA50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504D"/>
    <w:rPr>
      <w:i/>
      <w:iCs/>
      <w:color w:val="0F4761" w:themeColor="accent1" w:themeShade="BF"/>
    </w:rPr>
  </w:style>
  <w:style w:type="character" w:styleId="IntenseReference">
    <w:name w:val="Intense Reference"/>
    <w:basedOn w:val="DefaultParagraphFont"/>
    <w:uiPriority w:val="32"/>
    <w:qFormat/>
    <w:rsid w:val="00FA504D"/>
    <w:rPr>
      <w:b/>
      <w:bCs/>
      <w:smallCaps/>
      <w:color w:val="0F4761" w:themeColor="accent1" w:themeShade="BF"/>
      <w:spacing w:val="5"/>
    </w:rPr>
  </w:style>
  <w:style w:type="paragraph" w:styleId="NormalWeb">
    <w:name w:val="Normal (Web)"/>
    <w:basedOn w:val="Normal"/>
    <w:uiPriority w:val="99"/>
    <w:semiHidden/>
    <w:unhideWhenUsed/>
    <w:rsid w:val="00FA50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0A56"/>
    <w:rPr>
      <w:b/>
      <w:bCs/>
    </w:rPr>
  </w:style>
  <w:style w:type="paragraph" w:styleId="z-TopofForm">
    <w:name w:val="HTML Top of Form"/>
    <w:basedOn w:val="Normal"/>
    <w:next w:val="Normal"/>
    <w:link w:val="z-TopofFormChar"/>
    <w:hidden/>
    <w:uiPriority w:val="99"/>
    <w:semiHidden/>
    <w:unhideWhenUsed/>
    <w:rsid w:val="00730A5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30A56"/>
    <w:rPr>
      <w:rFonts w:ascii="Arial" w:eastAsia="Times New Roman" w:hAnsi="Arial" w:cs="Arial"/>
      <w:vanish/>
      <w:kern w:val="0"/>
      <w:sz w:val="16"/>
      <w:szCs w:val="16"/>
    </w:rPr>
  </w:style>
  <w:style w:type="table" w:styleId="PlainTable3">
    <w:name w:val="Plain Table 3"/>
    <w:basedOn w:val="TableNormal"/>
    <w:uiPriority w:val="43"/>
    <w:rsid w:val="00730A5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ubtitle">
    <w:name w:val="Subtitle"/>
    <w:basedOn w:val="Normal"/>
    <w:next w:val="Normal"/>
    <w:link w:val="SubtitleChar"/>
    <w:rPr>
      <w:color w:val="595959"/>
      <w:sz w:val="28"/>
      <w:szCs w:val="28"/>
    </w:rPr>
  </w:style>
  <w:style w:type="table" w:customStyle="1" w:styleId="Table1">
    <w:name w:val="Table1"/>
    <w:basedOn w:val="TableNormal"/>
    <w:tblPr>
      <w:tblStyleRowBandSize w:val="1"/>
      <w:tblStyleColBandSize w:val="1"/>
      <w:tblCellMar>
        <w:top w:w="15" w:type="dxa"/>
        <w:left w:w="15" w:type="dxa"/>
        <w:bottom w:w="15" w:type="dxa"/>
        <w:right w:w="15" w:type="dxa"/>
      </w:tblCellMar>
    </w:tblPr>
  </w:style>
  <w:style w:type="table" w:customStyle="1" w:styleId="Table2">
    <w:name w:val="Table2"/>
    <w:basedOn w:val="TableNormal"/>
    <w:tblPr>
      <w:tblStyleRowBandSize w:val="1"/>
      <w:tblStyleColBandSize w:val="1"/>
      <w:tblCellMar>
        <w:top w:w="15" w:type="dxa"/>
        <w:left w:w="15" w:type="dxa"/>
        <w:bottom w:w="15" w:type="dxa"/>
        <w:right w:w="15" w:type="dxa"/>
      </w:tblCellMar>
    </w:tblPr>
  </w:style>
  <w:style w:type="table" w:customStyle="1" w:styleId="Table3">
    <w:name w:val="Table3"/>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Header">
    <w:name w:val="header"/>
    <w:basedOn w:val="Normal"/>
    <w:link w:val="HeaderChar"/>
    <w:uiPriority w:val="99"/>
    <w:unhideWhenUsed/>
    <w:rsid w:val="002C4E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EAE"/>
  </w:style>
  <w:style w:type="paragraph" w:styleId="Footer">
    <w:name w:val="footer"/>
    <w:basedOn w:val="Normal"/>
    <w:link w:val="FooterChar"/>
    <w:uiPriority w:val="99"/>
    <w:unhideWhenUsed/>
    <w:rsid w:val="002C4E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tyleName="APA" SelectedStyle="/APASixthEditionOfficeOnline.xsl" Version="6">
  <b:Source>
    <b:Tag>source1</b:Tag>
    <b:Month>February</b:Month>
    <b:DayAccessed>17</b:DayAccessed>
    <b:Day>7</b:Day>
    <b:Year>2024</b:Year>
    <b:SourceType>DocumentFromInternetSite</b:SourceType>
    <b:URL>https://s201.q4cdn.com/231198771/files/doc_financials/2023/q4/Q4-23-PayPal-Earnings-Release.pdf</b:URL>
    <b:Title>Q4 23 PayPal Earnings Release</b:Title>
    <b:InternetSiteTitle>Q4 23 PayPal Earnings Release</b:InternetSiteTitle>
    <b:MonthAccessed>March</b:MonthAccessed>
    <b:YearAccessed>2024</b:YearAccessed>
    <b:Gdcea>{"AccessedType":"Website"}</b:Gdcea>
  </b:Source>
  <b:Source>
    <b:Tag>source2</b:Tag>
    <b:Month>February</b:Month>
    <b:DayAccessed>17</b:DayAccessed>
    <b:Day>7</b:Day>
    <b:Year>2024</b:Year>
    <b:SourceType>DocumentFromInternetSite</b:SourceType>
    <b:URL>https://s201.q4cdn.com/231198771/files/doc_financials/2023/q4/Q4-23-PayPal-Earnings-Release.pdf</b:URL>
    <b:Title>Q4 23 PayPal Earnings Release</b:Title>
    <b:InternetSiteTitle>Q4 23 PayPal Earnings Release</b:InternetSiteTitle>
    <b:MonthAccessed>March</b:MonthAccessed>
    <b:YearAccessed>2024</b:YearAccessed>
    <b:Gdcea>{"AccessedType":"Website"}</b:Gdcea>
  </b:Source>
  <b:Source>
    <b:Tag>source3</b:Tag>
    <b:Month>February</b:Month>
    <b:DayAccessed>17</b:DayAccessed>
    <b:Day>29</b:Day>
    <b:Year>2024</b:Year>
    <b:SourceType>DocumentFromInternetSite</b:SourceType>
    <b:URL>https://markets.ft.com/data/announce/detail?dockey=600-202402290601BIZWIRE_USPRX____20240229_BW357302-1</b:URL>
    <b:Title>Company Announcement - FT.com</b:Title>
    <b:InternetSiteTitle>Markets data</b:InternetSiteTitle>
    <b:MonthAccessed>March</b:MonthAccessed>
    <b:YearAccessed>2024</b:YearAccessed>
    <b:Gdcea>{"AccessedType":"Website"}</b:Gdcea>
  </b:Source>
  <b:Source>
    <b:Tag>source4</b:Tag>
    <b:Month>February</b:Month>
    <b:DayAccessed>17</b:DayAccessed>
    <b:Day>29</b:Day>
    <b:Year>2024</b:Year>
    <b:SourceType>DocumentFromInternetSite</b:SourceType>
    <b:URL>https://markets.ft.com/data/announce/detail?dockey=600-202402290601BIZWIRE_USPRX____20240229_BW357302-1</b:URL>
    <b:Title>Company Announcement - FT.com</b:Title>
    <b:InternetSiteTitle>Markets data</b:InternetSiteTitle>
    <b:MonthAccessed>March</b:MonthAccessed>
    <b:YearAccessed>2024</b:YearAccessed>
    <b:Gdcea>{"AccessedType":"Website"}</b:Gdcea>
  </b:Source>
  <b:Source>
    <b:Tag>source5</b:Tag>
    <b:DayAccessed>17</b:DayAccessed>
    <b:SourceType>DocumentFromInternetSite</b:SourceType>
    <b:URL>https://www.aciworldwide.com/blog/10-cybersecurity-predictions-for-2022</b:URL>
    <b:Title>10 Cybersecurity Predictions</b:Title>
    <b:InternetSiteTitle>ACI Worldwide</b:InternetSiteTitle>
    <b:MonthAccessed>March</b:MonthAccessed>
    <b:YearAccessed>2024</b:YearAccessed>
    <b:Gdcea>{"AccessedType":"Website"}</b:Gdcea>
  </b:Source>
  <b:Source>
    <b:Tag>source6</b:Tag>
    <b:Month>December</b:Month>
    <b:Day>4</b:Day>
    <b:Year>2017</b:Year>
    <b:SourceType>ArticleInAPeriodical</b:SourceType>
    <b:URL>https://thehackernews.com/2017/12/paypal-tio-data-breach.html</b:URL>
    <b:Title>PayPal Subsidiary Data Breach of 2017</b:Title>
    <b:PeriodicalTitle>The Hacker News</b:PeriodicalTitle>
    <b:Gdcea>{"AccessedType":"Website"}</b:Gdcea>
    <b:Author>
      <b:Author>
        <b:NameList>
          <b:Person>
            <b:First>Wang</b:First>
            <b:Last>Wei</b:Last>
          </b:Person>
        </b:NameList>
      </b:Author>
    </b:Author>
  </b:Source>
</b:Sourc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MB8LLV/032oI6udjkOIP1VNiIQ==">CgMxLjAyDmguNTZobW1obDk5cWRjMg5oLnF6MGoyYXNsaGw0MjIOaC54MndhNHR0ZmVmemMyDmguNndoOHhuMXJzN3hjOAByITF6ejF1ckZ4ejdjbVF6b09nU1drWW1lYjhZdW9TNlJubQ==</go:docsCustomData>
</go:gDocsCustomXmlDataStorage>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3526</Words>
  <Characters>20102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dc:creator>
  <cp:lastModifiedBy>sudhansh chopda</cp:lastModifiedBy>
  <cp:revision>2</cp:revision>
  <dcterms:created xsi:type="dcterms:W3CDTF">2025-06-03T03:40:00Z</dcterms:created>
  <dcterms:modified xsi:type="dcterms:W3CDTF">2025-06-03T03:40:00Z</dcterms:modified>
</cp:coreProperties>
</file>