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AC6" w:rsidRPr="00517AC6" w:rsidRDefault="00517AC6" w:rsidP="00517AC6">
      <w:pPr>
        <w:jc w:val="center"/>
        <w:rPr>
          <w:rFonts w:ascii="Times New Roman" w:hAnsi="Times New Roman" w:cs="Times New Roman"/>
          <w:sz w:val="40"/>
          <w:u w:val="dottedHeavy"/>
        </w:rPr>
      </w:pPr>
      <w:r w:rsidRPr="00517AC6">
        <w:rPr>
          <w:rFonts w:ascii="Times New Roman" w:hAnsi="Times New Roman" w:cs="Times New Roman"/>
          <w:sz w:val="40"/>
          <w:u w:val="dottedHeavy"/>
        </w:rPr>
        <w:t>UN POCO DE FUNCIONAMIENTO DE LA BOLSA DE VALORES</w:t>
      </w:r>
    </w:p>
    <w:p w:rsidR="00AD210C" w:rsidRPr="00AD210C" w:rsidRDefault="00517AC6" w:rsidP="00AD210C">
      <w:pPr>
        <w:jc w:val="center"/>
        <w:rPr>
          <w:rFonts w:ascii="Times New Roman" w:hAnsi="Times New Roman" w:cs="Times New Roman"/>
          <w:sz w:val="28"/>
          <w:u w:val="dottedHeavy"/>
        </w:rPr>
      </w:pPr>
      <w:r w:rsidRPr="00AD210C">
        <w:rPr>
          <w:rFonts w:ascii="Times New Roman" w:hAnsi="Times New Roman" w:cs="Times New Roman"/>
          <w:sz w:val="28"/>
          <w:u w:val="dottedHeavy"/>
        </w:rPr>
        <w:t>EL CRACK DEL 29</w:t>
      </w:r>
    </w:p>
    <w:p w:rsidR="00AD210C" w:rsidRDefault="00517AC6" w:rsidP="008B3530">
      <w:pPr>
        <w:jc w:val="both"/>
        <w:rPr>
          <w:rFonts w:ascii="Times New Roman" w:hAnsi="Times New Roman" w:cs="Times New Roman"/>
          <w:sz w:val="24"/>
        </w:rPr>
      </w:pPr>
      <w:r w:rsidRPr="00517AC6">
        <w:rPr>
          <w:rFonts w:ascii="Times New Roman" w:hAnsi="Times New Roman" w:cs="Times New Roman"/>
          <w:sz w:val="24"/>
        </w:rPr>
        <w:t xml:space="preserve">La "gran depresión" económica que se </w:t>
      </w:r>
      <w:r w:rsidR="00AD210C" w:rsidRPr="00517AC6">
        <w:rPr>
          <w:rFonts w:ascii="Times New Roman" w:hAnsi="Times New Roman" w:cs="Times New Roman"/>
          <w:sz w:val="24"/>
        </w:rPr>
        <w:t>generalizaría</w:t>
      </w:r>
      <w:r w:rsidRPr="00517AC6">
        <w:rPr>
          <w:rFonts w:ascii="Times New Roman" w:hAnsi="Times New Roman" w:cs="Times New Roman"/>
          <w:sz w:val="24"/>
        </w:rPr>
        <w:t xml:space="preserve"> a partir de 1929 destruiría "</w:t>
      </w:r>
      <w:r w:rsidRPr="00AD210C">
        <w:rPr>
          <w:rFonts w:ascii="Times New Roman" w:hAnsi="Times New Roman" w:cs="Times New Roman"/>
          <w:sz w:val="24"/>
          <w:u w:val="single"/>
        </w:rPr>
        <w:t xml:space="preserve">el espíritu de </w:t>
      </w:r>
      <w:proofErr w:type="spellStart"/>
      <w:r w:rsidRPr="00AD210C">
        <w:rPr>
          <w:rFonts w:ascii="Times New Roman" w:hAnsi="Times New Roman" w:cs="Times New Roman"/>
          <w:sz w:val="24"/>
          <w:u w:val="single"/>
        </w:rPr>
        <w:t>Locarno</w:t>
      </w:r>
      <w:proofErr w:type="spellEnd"/>
      <w:r w:rsidRPr="00517AC6">
        <w:rPr>
          <w:rFonts w:ascii="Times New Roman" w:hAnsi="Times New Roman" w:cs="Times New Roman"/>
          <w:sz w:val="24"/>
        </w:rPr>
        <w:t xml:space="preserve">" y </w:t>
      </w:r>
      <w:r w:rsidR="00AD210C" w:rsidRPr="00517AC6">
        <w:rPr>
          <w:rFonts w:ascii="Times New Roman" w:hAnsi="Times New Roman" w:cs="Times New Roman"/>
          <w:sz w:val="24"/>
        </w:rPr>
        <w:t>propiciaría</w:t>
      </w:r>
      <w:r w:rsidRPr="00517AC6">
        <w:rPr>
          <w:rFonts w:ascii="Times New Roman" w:hAnsi="Times New Roman" w:cs="Times New Roman"/>
          <w:sz w:val="24"/>
        </w:rPr>
        <w:t xml:space="preserve"> que la inseguridad, la violencia y la tensión volvieran a caracterizar las relaciones internacionales. </w:t>
      </w:r>
    </w:p>
    <w:p w:rsidR="00AD210C" w:rsidRDefault="00517AC6" w:rsidP="008B3530">
      <w:pPr>
        <w:ind w:left="1276" w:right="1133" w:firstLine="709"/>
        <w:jc w:val="both"/>
        <w:rPr>
          <w:rFonts w:ascii="Times New Roman" w:hAnsi="Times New Roman" w:cs="Times New Roman"/>
          <w:sz w:val="24"/>
        </w:rPr>
      </w:pPr>
      <w:r w:rsidRPr="00517AC6">
        <w:rPr>
          <w:rFonts w:ascii="Times New Roman" w:hAnsi="Times New Roman" w:cs="Times New Roman"/>
          <w:sz w:val="24"/>
        </w:rPr>
        <w:t xml:space="preserve">Lo que en 1928 era impensable, la posibilidad de una nueva guerra mundial -como mostraba que un total de 62 Estados ratificasen el pacto </w:t>
      </w:r>
      <w:proofErr w:type="spellStart"/>
      <w:r w:rsidRPr="00517AC6">
        <w:rPr>
          <w:rFonts w:ascii="Times New Roman" w:hAnsi="Times New Roman" w:cs="Times New Roman"/>
          <w:sz w:val="24"/>
        </w:rPr>
        <w:t>Briand</w:t>
      </w:r>
      <w:proofErr w:type="spellEnd"/>
      <w:r w:rsidRPr="00517AC6">
        <w:rPr>
          <w:rFonts w:ascii="Times New Roman" w:hAnsi="Times New Roman" w:cs="Times New Roman"/>
          <w:sz w:val="24"/>
        </w:rPr>
        <w:t xml:space="preserve">-Kellogg-, resultaría casi inevitable en unos pocos años. La </w:t>
      </w:r>
      <w:r w:rsidRPr="001641DA">
        <w:rPr>
          <w:rFonts w:ascii="Times New Roman" w:hAnsi="Times New Roman" w:cs="Times New Roman"/>
          <w:i/>
          <w:sz w:val="24"/>
        </w:rPr>
        <w:t>crisis económica mundial</w:t>
      </w:r>
      <w:r w:rsidRPr="00517AC6">
        <w:rPr>
          <w:rFonts w:ascii="Times New Roman" w:hAnsi="Times New Roman" w:cs="Times New Roman"/>
          <w:sz w:val="24"/>
        </w:rPr>
        <w:t xml:space="preserve"> </w:t>
      </w:r>
      <w:r w:rsidR="001641DA" w:rsidRPr="00517AC6">
        <w:rPr>
          <w:rFonts w:ascii="Times New Roman" w:hAnsi="Times New Roman" w:cs="Times New Roman"/>
          <w:sz w:val="24"/>
        </w:rPr>
        <w:t>fue</w:t>
      </w:r>
      <w:r w:rsidRPr="00517AC6">
        <w:rPr>
          <w:rFonts w:ascii="Times New Roman" w:hAnsi="Times New Roman" w:cs="Times New Roman"/>
          <w:sz w:val="24"/>
        </w:rPr>
        <w:t xml:space="preserve"> precipitada por la crisis de la economía norteamericana, que comenzó en 1928 con la </w:t>
      </w:r>
      <w:r w:rsidR="001641DA" w:rsidRPr="00517AC6">
        <w:rPr>
          <w:rFonts w:ascii="Times New Roman" w:hAnsi="Times New Roman" w:cs="Times New Roman"/>
          <w:sz w:val="24"/>
        </w:rPr>
        <w:t>caída</w:t>
      </w:r>
      <w:r w:rsidRPr="00517AC6">
        <w:rPr>
          <w:rFonts w:ascii="Times New Roman" w:hAnsi="Times New Roman" w:cs="Times New Roman"/>
          <w:sz w:val="24"/>
        </w:rPr>
        <w:t xml:space="preserve"> de los precios </w:t>
      </w:r>
      <w:r w:rsidR="001641DA" w:rsidRPr="00517AC6">
        <w:rPr>
          <w:rFonts w:ascii="Times New Roman" w:hAnsi="Times New Roman" w:cs="Times New Roman"/>
          <w:sz w:val="24"/>
        </w:rPr>
        <w:t>agrícolas</w:t>
      </w:r>
      <w:r w:rsidRPr="00517AC6">
        <w:rPr>
          <w:rFonts w:ascii="Times New Roman" w:hAnsi="Times New Roman" w:cs="Times New Roman"/>
          <w:sz w:val="24"/>
        </w:rPr>
        <w:t xml:space="preserve"> y estalló cuando el 29 de octubre de 1929 se hundió la Bolsa de Nueva York.</w:t>
      </w:r>
    </w:p>
    <w:p w:rsidR="00DF0160" w:rsidRDefault="008B3530" w:rsidP="008B3530">
      <w:pPr>
        <w:jc w:val="center"/>
        <w:rPr>
          <w:rFonts w:ascii="Times New Roman" w:hAnsi="Times New Roman" w:cs="Times New Roman"/>
          <w:sz w:val="28"/>
          <w:u w:val="dottedHeavy"/>
        </w:rPr>
      </w:pPr>
      <w:r>
        <w:rPr>
          <w:rFonts w:ascii="Times New Roman" w:hAnsi="Times New Roman" w:cs="Times New Roman"/>
          <w:sz w:val="28"/>
          <w:u w:val="dottedHeavy"/>
        </w:rPr>
        <w:t xml:space="preserve">TABLA DE </w:t>
      </w:r>
      <w:r w:rsidR="00517AC6" w:rsidRPr="008B3530">
        <w:rPr>
          <w:rFonts w:ascii="Times New Roman" w:hAnsi="Times New Roman" w:cs="Times New Roman"/>
          <w:sz w:val="28"/>
          <w:u w:val="dottedHeavy"/>
        </w:rPr>
        <w:t>INDICES BURSATILES</w:t>
      </w:r>
    </w:p>
    <w:tbl>
      <w:tblPr>
        <w:tblStyle w:val="Tablaconcuadrcula"/>
        <w:tblW w:w="99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02"/>
        <w:gridCol w:w="992"/>
        <w:gridCol w:w="993"/>
        <w:gridCol w:w="992"/>
        <w:gridCol w:w="992"/>
        <w:gridCol w:w="851"/>
        <w:gridCol w:w="992"/>
        <w:gridCol w:w="1134"/>
        <w:gridCol w:w="1276"/>
      </w:tblGrid>
      <w:tr w:rsidR="003E07E9" w:rsidTr="003E07E9">
        <w:tc>
          <w:tcPr>
            <w:tcW w:w="1702" w:type="dxa"/>
            <w:shd w:val="clear" w:color="auto" w:fill="33CC33"/>
          </w:tcPr>
          <w:p w:rsidR="004554E1" w:rsidRPr="003E07E9" w:rsidRDefault="004554E1" w:rsidP="00307EEB">
            <w:pPr>
              <w:jc w:val="center"/>
              <w:rPr>
                <w:b/>
                <w:color w:val="002060"/>
              </w:rPr>
            </w:pPr>
            <w:r w:rsidRPr="003E07E9">
              <w:rPr>
                <w:b/>
                <w:color w:val="002060"/>
              </w:rPr>
              <w:t>Symbol</w:t>
            </w:r>
          </w:p>
        </w:tc>
        <w:tc>
          <w:tcPr>
            <w:tcW w:w="992" w:type="dxa"/>
            <w:shd w:val="clear" w:color="auto" w:fill="33CC33"/>
          </w:tcPr>
          <w:p w:rsidR="004554E1" w:rsidRPr="003E07E9" w:rsidRDefault="004554E1" w:rsidP="00307EEB">
            <w:pPr>
              <w:jc w:val="center"/>
              <w:rPr>
                <w:b/>
                <w:color w:val="002060"/>
              </w:rPr>
            </w:pPr>
            <w:proofErr w:type="spellStart"/>
            <w:r w:rsidRPr="003E07E9">
              <w:rPr>
                <w:b/>
                <w:color w:val="002060"/>
              </w:rPr>
              <w:t>Bid</w:t>
            </w:r>
            <w:proofErr w:type="spellEnd"/>
          </w:p>
        </w:tc>
        <w:tc>
          <w:tcPr>
            <w:tcW w:w="993" w:type="dxa"/>
            <w:shd w:val="clear" w:color="auto" w:fill="33CC33"/>
          </w:tcPr>
          <w:p w:rsidR="004554E1" w:rsidRPr="003E07E9" w:rsidRDefault="004554E1" w:rsidP="00307EEB">
            <w:pPr>
              <w:jc w:val="center"/>
              <w:rPr>
                <w:b/>
                <w:color w:val="002060"/>
              </w:rPr>
            </w:pPr>
            <w:r w:rsidRPr="003E07E9">
              <w:rPr>
                <w:b/>
                <w:color w:val="002060"/>
              </w:rPr>
              <w:t>Ask</w:t>
            </w:r>
          </w:p>
        </w:tc>
        <w:tc>
          <w:tcPr>
            <w:tcW w:w="992" w:type="dxa"/>
            <w:shd w:val="clear" w:color="auto" w:fill="33CC33"/>
          </w:tcPr>
          <w:p w:rsidR="004554E1" w:rsidRPr="003E07E9" w:rsidRDefault="004554E1" w:rsidP="00307EEB">
            <w:pPr>
              <w:jc w:val="center"/>
              <w:rPr>
                <w:b/>
                <w:color w:val="002060"/>
              </w:rPr>
            </w:pPr>
            <w:proofErr w:type="spellStart"/>
            <w:r w:rsidRPr="003E07E9">
              <w:rPr>
                <w:b/>
                <w:color w:val="002060"/>
              </w:rPr>
              <w:t>Last</w:t>
            </w:r>
            <w:proofErr w:type="spellEnd"/>
          </w:p>
        </w:tc>
        <w:tc>
          <w:tcPr>
            <w:tcW w:w="992" w:type="dxa"/>
            <w:shd w:val="clear" w:color="auto" w:fill="33CC33"/>
          </w:tcPr>
          <w:p w:rsidR="004554E1" w:rsidRPr="003E07E9" w:rsidRDefault="004554E1" w:rsidP="00307EEB">
            <w:pPr>
              <w:jc w:val="center"/>
              <w:rPr>
                <w:b/>
                <w:color w:val="002060"/>
              </w:rPr>
            </w:pPr>
            <w:proofErr w:type="spellStart"/>
            <w:r w:rsidRPr="003E07E9">
              <w:rPr>
                <w:b/>
                <w:color w:val="002060"/>
              </w:rPr>
              <w:t>Change</w:t>
            </w:r>
            <w:proofErr w:type="spellEnd"/>
          </w:p>
        </w:tc>
        <w:tc>
          <w:tcPr>
            <w:tcW w:w="851" w:type="dxa"/>
            <w:shd w:val="clear" w:color="auto" w:fill="33CC33"/>
          </w:tcPr>
          <w:p w:rsidR="004554E1" w:rsidRPr="003E07E9" w:rsidRDefault="004554E1" w:rsidP="00307EEB">
            <w:pPr>
              <w:jc w:val="center"/>
              <w:rPr>
                <w:b/>
                <w:color w:val="002060"/>
              </w:rPr>
            </w:pPr>
            <w:proofErr w:type="spellStart"/>
            <w:r w:rsidRPr="003E07E9">
              <w:rPr>
                <w:b/>
                <w:color w:val="002060"/>
              </w:rPr>
              <w:t>Chg</w:t>
            </w:r>
            <w:proofErr w:type="spellEnd"/>
            <w:r w:rsidRPr="003E07E9">
              <w:rPr>
                <w:b/>
                <w:color w:val="002060"/>
              </w:rPr>
              <w:t>%</w:t>
            </w:r>
          </w:p>
        </w:tc>
        <w:tc>
          <w:tcPr>
            <w:tcW w:w="992" w:type="dxa"/>
            <w:shd w:val="clear" w:color="auto" w:fill="33CC33"/>
          </w:tcPr>
          <w:p w:rsidR="004554E1" w:rsidRPr="003E07E9" w:rsidRDefault="004554E1" w:rsidP="00307EEB">
            <w:pPr>
              <w:jc w:val="center"/>
              <w:rPr>
                <w:b/>
                <w:color w:val="002060"/>
              </w:rPr>
            </w:pPr>
            <w:r w:rsidRPr="003E07E9">
              <w:rPr>
                <w:b/>
                <w:color w:val="002060"/>
              </w:rPr>
              <w:t>High</w:t>
            </w:r>
          </w:p>
        </w:tc>
        <w:tc>
          <w:tcPr>
            <w:tcW w:w="1134" w:type="dxa"/>
            <w:shd w:val="clear" w:color="auto" w:fill="33CC33"/>
          </w:tcPr>
          <w:p w:rsidR="004554E1" w:rsidRPr="003E07E9" w:rsidRDefault="004554E1" w:rsidP="00307EEB">
            <w:pPr>
              <w:jc w:val="center"/>
              <w:rPr>
                <w:b/>
                <w:color w:val="002060"/>
              </w:rPr>
            </w:pPr>
            <w:proofErr w:type="spellStart"/>
            <w:r w:rsidRPr="003E07E9">
              <w:rPr>
                <w:b/>
                <w:color w:val="002060"/>
              </w:rPr>
              <w:t>Low</w:t>
            </w:r>
            <w:proofErr w:type="spellEnd"/>
          </w:p>
        </w:tc>
        <w:tc>
          <w:tcPr>
            <w:tcW w:w="1276" w:type="dxa"/>
            <w:shd w:val="clear" w:color="auto" w:fill="33CC33"/>
          </w:tcPr>
          <w:p w:rsidR="004554E1" w:rsidRPr="003E07E9" w:rsidRDefault="004554E1" w:rsidP="00307EEB">
            <w:pPr>
              <w:jc w:val="right"/>
              <w:rPr>
                <w:b/>
                <w:color w:val="002060"/>
              </w:rPr>
            </w:pPr>
            <w:r w:rsidRPr="003E07E9">
              <w:rPr>
                <w:b/>
                <w:color w:val="002060"/>
              </w:rPr>
              <w:t>Time</w:t>
            </w:r>
          </w:p>
        </w:tc>
      </w:tr>
      <w:tr w:rsidR="003E07E9" w:rsidTr="003E07E9">
        <w:tc>
          <w:tcPr>
            <w:tcW w:w="1702" w:type="dxa"/>
            <w:shd w:val="clear" w:color="auto" w:fill="99FF66"/>
          </w:tcPr>
          <w:p w:rsidR="004554E1" w:rsidRDefault="004554E1" w:rsidP="008B3530">
            <w:r w:rsidRPr="003E07E9">
              <w:rPr>
                <w:highlight w:val="cyan"/>
              </w:rPr>
              <w:t xml:space="preserve">Nasdaq100 </w:t>
            </w:r>
            <w:proofErr w:type="spellStart"/>
            <w:r w:rsidRPr="003E07E9">
              <w:rPr>
                <w:highlight w:val="cyan"/>
              </w:rPr>
              <w:t>Fut</w:t>
            </w:r>
            <w:proofErr w:type="spellEnd"/>
          </w:p>
        </w:tc>
        <w:tc>
          <w:tcPr>
            <w:tcW w:w="992" w:type="dxa"/>
            <w:shd w:val="clear" w:color="auto" w:fill="99FF66"/>
          </w:tcPr>
          <w:p w:rsidR="004554E1" w:rsidRPr="003E07E9" w:rsidRDefault="00522981" w:rsidP="003E07E9">
            <w:pPr>
              <w:jc w:val="right"/>
              <w:rPr>
                <w:color w:val="0000FF"/>
              </w:rPr>
            </w:pPr>
            <w:r w:rsidRPr="003E07E9">
              <w:rPr>
                <w:color w:val="0000FF"/>
              </w:rPr>
              <w:t>1511.13</w:t>
            </w:r>
          </w:p>
        </w:tc>
        <w:tc>
          <w:tcPr>
            <w:tcW w:w="993" w:type="dxa"/>
            <w:shd w:val="clear" w:color="auto" w:fill="99FF66"/>
          </w:tcPr>
          <w:p w:rsidR="004554E1" w:rsidRPr="003E07E9" w:rsidRDefault="001D63A8" w:rsidP="003E07E9">
            <w:pPr>
              <w:jc w:val="right"/>
              <w:rPr>
                <w:color w:val="0000FF"/>
              </w:rPr>
            </w:pPr>
            <w:r w:rsidRPr="003E07E9">
              <w:rPr>
                <w:color w:val="0000FF"/>
              </w:rPr>
              <w:t>1511.88</w:t>
            </w:r>
          </w:p>
        </w:tc>
        <w:tc>
          <w:tcPr>
            <w:tcW w:w="992" w:type="dxa"/>
            <w:shd w:val="clear" w:color="auto" w:fill="99FF66"/>
          </w:tcPr>
          <w:p w:rsidR="004554E1" w:rsidRPr="003E07E9" w:rsidRDefault="001D63A8" w:rsidP="003E07E9">
            <w:pPr>
              <w:jc w:val="right"/>
              <w:rPr>
                <w:color w:val="0000FF"/>
              </w:rPr>
            </w:pPr>
            <w:r w:rsidRPr="003E07E9">
              <w:rPr>
                <w:color w:val="0000FF"/>
              </w:rPr>
              <w:t>1510.88</w:t>
            </w:r>
          </w:p>
        </w:tc>
        <w:tc>
          <w:tcPr>
            <w:tcW w:w="992" w:type="dxa"/>
            <w:shd w:val="clear" w:color="auto" w:fill="99FF66"/>
          </w:tcPr>
          <w:p w:rsidR="004554E1" w:rsidRPr="003E07E9" w:rsidRDefault="001D63A8" w:rsidP="003E07E9">
            <w:pPr>
              <w:jc w:val="right"/>
              <w:rPr>
                <w:color w:val="0000FF"/>
              </w:rPr>
            </w:pPr>
            <w:r w:rsidRPr="003E07E9">
              <w:rPr>
                <w:color w:val="0000FF"/>
              </w:rPr>
              <w:t>0.75</w:t>
            </w:r>
          </w:p>
        </w:tc>
        <w:tc>
          <w:tcPr>
            <w:tcW w:w="851" w:type="dxa"/>
            <w:shd w:val="clear" w:color="auto" w:fill="99FF66"/>
          </w:tcPr>
          <w:p w:rsidR="004554E1" w:rsidRPr="003E07E9" w:rsidRDefault="001D63A8" w:rsidP="003E07E9">
            <w:pPr>
              <w:jc w:val="right"/>
              <w:rPr>
                <w:color w:val="0000FF"/>
              </w:rPr>
            </w:pPr>
            <w:r w:rsidRPr="003E07E9">
              <w:rPr>
                <w:color w:val="0000FF"/>
              </w:rPr>
              <w:t>0.05</w:t>
            </w:r>
          </w:p>
        </w:tc>
        <w:tc>
          <w:tcPr>
            <w:tcW w:w="992" w:type="dxa"/>
            <w:shd w:val="clear" w:color="auto" w:fill="99FF66"/>
          </w:tcPr>
          <w:p w:rsidR="004554E1" w:rsidRDefault="00F426FA" w:rsidP="003E07E9">
            <w:pPr>
              <w:jc w:val="right"/>
            </w:pPr>
            <w:r>
              <w:t>1512.50</w:t>
            </w:r>
          </w:p>
        </w:tc>
        <w:tc>
          <w:tcPr>
            <w:tcW w:w="1134" w:type="dxa"/>
            <w:shd w:val="clear" w:color="auto" w:fill="99FF66"/>
          </w:tcPr>
          <w:p w:rsidR="004554E1" w:rsidRDefault="00F426FA" w:rsidP="003E07E9">
            <w:pPr>
              <w:jc w:val="right"/>
            </w:pPr>
            <w:r>
              <w:t>1509.00</w:t>
            </w:r>
          </w:p>
        </w:tc>
        <w:tc>
          <w:tcPr>
            <w:tcW w:w="1276" w:type="dxa"/>
            <w:shd w:val="clear" w:color="auto" w:fill="99FF66"/>
          </w:tcPr>
          <w:p w:rsidR="004554E1" w:rsidRDefault="00F426FA" w:rsidP="003E07E9">
            <w:pPr>
              <w:jc w:val="right"/>
            </w:pPr>
            <w:r>
              <w:t>04:22</w:t>
            </w:r>
          </w:p>
        </w:tc>
      </w:tr>
      <w:tr w:rsidR="00C800C5" w:rsidTr="00C800C5">
        <w:tc>
          <w:tcPr>
            <w:tcW w:w="1702" w:type="dxa"/>
            <w:shd w:val="clear" w:color="auto" w:fill="CCFF99"/>
          </w:tcPr>
          <w:p w:rsidR="004554E1" w:rsidRDefault="00522981" w:rsidP="008B3530">
            <w:r>
              <w:t>Nasdaq 100</w:t>
            </w:r>
          </w:p>
        </w:tc>
        <w:tc>
          <w:tcPr>
            <w:tcW w:w="992" w:type="dxa"/>
            <w:shd w:val="clear" w:color="auto" w:fill="CCFF99"/>
          </w:tcPr>
          <w:p w:rsidR="004554E1" w:rsidRDefault="00522981" w:rsidP="003E07E9">
            <w:pPr>
              <w:jc w:val="right"/>
            </w:pPr>
            <w:r>
              <w:t>1500.16</w:t>
            </w:r>
          </w:p>
        </w:tc>
        <w:tc>
          <w:tcPr>
            <w:tcW w:w="993" w:type="dxa"/>
            <w:shd w:val="clear" w:color="auto" w:fill="CCFF99"/>
          </w:tcPr>
          <w:p w:rsidR="004554E1" w:rsidRDefault="001D63A8" w:rsidP="003E07E9">
            <w:pPr>
              <w:jc w:val="right"/>
            </w:pPr>
            <w:r>
              <w:t>1500.20</w:t>
            </w:r>
          </w:p>
        </w:tc>
        <w:tc>
          <w:tcPr>
            <w:tcW w:w="992" w:type="dxa"/>
            <w:shd w:val="clear" w:color="auto" w:fill="CCFF99"/>
          </w:tcPr>
          <w:p w:rsidR="004554E1" w:rsidRDefault="001D63A8" w:rsidP="003E07E9">
            <w:pPr>
              <w:jc w:val="right"/>
            </w:pPr>
            <w:r>
              <w:t>1500.16</w:t>
            </w:r>
          </w:p>
        </w:tc>
        <w:tc>
          <w:tcPr>
            <w:tcW w:w="992" w:type="dxa"/>
            <w:shd w:val="clear" w:color="auto" w:fill="CCFF99"/>
          </w:tcPr>
          <w:p w:rsidR="004554E1" w:rsidRPr="003E07E9" w:rsidRDefault="001D63A8" w:rsidP="003E07E9">
            <w:pPr>
              <w:jc w:val="right"/>
              <w:rPr>
                <w:color w:val="0000FF"/>
              </w:rPr>
            </w:pPr>
            <w:r w:rsidRPr="003E07E9">
              <w:rPr>
                <w:color w:val="0000FF"/>
              </w:rPr>
              <w:t>0.00</w:t>
            </w:r>
          </w:p>
        </w:tc>
        <w:tc>
          <w:tcPr>
            <w:tcW w:w="851" w:type="dxa"/>
            <w:shd w:val="clear" w:color="auto" w:fill="CCFF99"/>
          </w:tcPr>
          <w:p w:rsidR="004554E1" w:rsidRPr="003E07E9" w:rsidRDefault="001D63A8" w:rsidP="003E07E9">
            <w:pPr>
              <w:jc w:val="right"/>
              <w:rPr>
                <w:color w:val="0000FF"/>
              </w:rPr>
            </w:pPr>
            <w:r w:rsidRPr="003E07E9">
              <w:rPr>
                <w:color w:val="0000FF"/>
              </w:rPr>
              <w:t>0.00</w:t>
            </w:r>
          </w:p>
        </w:tc>
        <w:tc>
          <w:tcPr>
            <w:tcW w:w="992" w:type="dxa"/>
            <w:shd w:val="clear" w:color="auto" w:fill="CCFF99"/>
          </w:tcPr>
          <w:p w:rsidR="004554E1" w:rsidRDefault="00F426FA" w:rsidP="003E07E9">
            <w:pPr>
              <w:jc w:val="right"/>
            </w:pPr>
            <w:r>
              <w:t>1518.01</w:t>
            </w:r>
          </w:p>
        </w:tc>
        <w:tc>
          <w:tcPr>
            <w:tcW w:w="1134" w:type="dxa"/>
            <w:shd w:val="clear" w:color="auto" w:fill="CCFF99"/>
          </w:tcPr>
          <w:p w:rsidR="004554E1" w:rsidRDefault="00F426FA" w:rsidP="003E07E9">
            <w:pPr>
              <w:jc w:val="right"/>
            </w:pPr>
            <w:r>
              <w:t>1500.18</w:t>
            </w:r>
          </w:p>
        </w:tc>
        <w:tc>
          <w:tcPr>
            <w:tcW w:w="1276" w:type="dxa"/>
            <w:shd w:val="clear" w:color="auto" w:fill="CCFF99"/>
          </w:tcPr>
          <w:p w:rsidR="004554E1" w:rsidRDefault="00F426FA" w:rsidP="003E07E9">
            <w:pPr>
              <w:jc w:val="right"/>
            </w:pPr>
            <w:r>
              <w:t>17:19</w:t>
            </w:r>
          </w:p>
        </w:tc>
      </w:tr>
      <w:tr w:rsidR="00C800C5" w:rsidTr="00C800C5">
        <w:tc>
          <w:tcPr>
            <w:tcW w:w="1702" w:type="dxa"/>
            <w:shd w:val="clear" w:color="auto" w:fill="CCFF99"/>
          </w:tcPr>
          <w:p w:rsidR="004554E1" w:rsidRDefault="00522981" w:rsidP="008B3530">
            <w:r>
              <w:t>S&amp;P 100</w:t>
            </w:r>
          </w:p>
        </w:tc>
        <w:tc>
          <w:tcPr>
            <w:tcW w:w="992" w:type="dxa"/>
            <w:shd w:val="clear" w:color="auto" w:fill="CCFF99"/>
          </w:tcPr>
          <w:p w:rsidR="004554E1" w:rsidRDefault="00522981" w:rsidP="003E07E9">
            <w:pPr>
              <w:jc w:val="right"/>
            </w:pPr>
            <w:r>
              <w:t>559.89</w:t>
            </w:r>
          </w:p>
        </w:tc>
        <w:tc>
          <w:tcPr>
            <w:tcW w:w="993" w:type="dxa"/>
            <w:shd w:val="clear" w:color="auto" w:fill="CCFF99"/>
          </w:tcPr>
          <w:p w:rsidR="004554E1" w:rsidRDefault="001D63A8" w:rsidP="003E07E9">
            <w:pPr>
              <w:jc w:val="right"/>
            </w:pPr>
            <w:r>
              <w:t>559.93</w:t>
            </w:r>
          </w:p>
        </w:tc>
        <w:tc>
          <w:tcPr>
            <w:tcW w:w="992" w:type="dxa"/>
            <w:shd w:val="clear" w:color="auto" w:fill="CCFF99"/>
          </w:tcPr>
          <w:p w:rsidR="004554E1" w:rsidRDefault="001D63A8" w:rsidP="003E07E9">
            <w:pPr>
              <w:jc w:val="right"/>
            </w:pPr>
            <w:r>
              <w:t>559.89</w:t>
            </w:r>
          </w:p>
        </w:tc>
        <w:tc>
          <w:tcPr>
            <w:tcW w:w="992" w:type="dxa"/>
            <w:shd w:val="clear" w:color="auto" w:fill="CCFF99"/>
          </w:tcPr>
          <w:p w:rsidR="004554E1" w:rsidRPr="003E07E9" w:rsidRDefault="001D63A8" w:rsidP="003E07E9">
            <w:pPr>
              <w:jc w:val="right"/>
              <w:rPr>
                <w:color w:val="0000FF"/>
              </w:rPr>
            </w:pPr>
            <w:r w:rsidRPr="003E07E9">
              <w:rPr>
                <w:color w:val="0000FF"/>
              </w:rPr>
              <w:t>0.00</w:t>
            </w:r>
          </w:p>
        </w:tc>
        <w:tc>
          <w:tcPr>
            <w:tcW w:w="851" w:type="dxa"/>
            <w:shd w:val="clear" w:color="auto" w:fill="CCFF99"/>
          </w:tcPr>
          <w:p w:rsidR="004554E1" w:rsidRPr="003E07E9" w:rsidRDefault="001D63A8" w:rsidP="003E07E9">
            <w:pPr>
              <w:jc w:val="right"/>
              <w:rPr>
                <w:color w:val="0000FF"/>
              </w:rPr>
            </w:pPr>
            <w:r w:rsidRPr="003E07E9">
              <w:rPr>
                <w:color w:val="0000FF"/>
              </w:rPr>
              <w:t>0.00</w:t>
            </w:r>
          </w:p>
        </w:tc>
        <w:tc>
          <w:tcPr>
            <w:tcW w:w="992" w:type="dxa"/>
            <w:shd w:val="clear" w:color="auto" w:fill="CCFF99"/>
          </w:tcPr>
          <w:p w:rsidR="004554E1" w:rsidRDefault="00F426FA" w:rsidP="003E07E9">
            <w:pPr>
              <w:jc w:val="right"/>
            </w:pPr>
            <w:r>
              <w:t>564.48</w:t>
            </w:r>
          </w:p>
        </w:tc>
        <w:tc>
          <w:tcPr>
            <w:tcW w:w="1134" w:type="dxa"/>
            <w:shd w:val="clear" w:color="auto" w:fill="CCFF99"/>
          </w:tcPr>
          <w:p w:rsidR="004554E1" w:rsidRDefault="00F426FA" w:rsidP="003E07E9">
            <w:pPr>
              <w:jc w:val="right"/>
            </w:pPr>
            <w:r>
              <w:t>559.87</w:t>
            </w:r>
          </w:p>
        </w:tc>
        <w:tc>
          <w:tcPr>
            <w:tcW w:w="1276" w:type="dxa"/>
            <w:shd w:val="clear" w:color="auto" w:fill="CCFF99"/>
          </w:tcPr>
          <w:p w:rsidR="004554E1" w:rsidRDefault="00F426FA" w:rsidP="003E07E9">
            <w:pPr>
              <w:jc w:val="right"/>
            </w:pPr>
            <w:r>
              <w:t>11:05</w:t>
            </w:r>
          </w:p>
        </w:tc>
      </w:tr>
      <w:tr w:rsidR="00C800C5" w:rsidTr="00C800C5">
        <w:tc>
          <w:tcPr>
            <w:tcW w:w="1702" w:type="dxa"/>
            <w:shd w:val="clear" w:color="auto" w:fill="99FF66"/>
          </w:tcPr>
          <w:p w:rsidR="004554E1" w:rsidRDefault="00522981" w:rsidP="008B3530">
            <w:r>
              <w:t xml:space="preserve">S&amp;P 500 </w:t>
            </w:r>
            <w:proofErr w:type="spellStart"/>
            <w:r>
              <w:t>Future</w:t>
            </w:r>
            <w:proofErr w:type="spellEnd"/>
          </w:p>
        </w:tc>
        <w:tc>
          <w:tcPr>
            <w:tcW w:w="992" w:type="dxa"/>
            <w:shd w:val="clear" w:color="auto" w:fill="99FF66"/>
          </w:tcPr>
          <w:p w:rsidR="004554E1" w:rsidRDefault="00522981" w:rsidP="003E07E9">
            <w:pPr>
              <w:jc w:val="right"/>
            </w:pPr>
            <w:r>
              <w:t>1195.63</w:t>
            </w:r>
          </w:p>
        </w:tc>
        <w:tc>
          <w:tcPr>
            <w:tcW w:w="993" w:type="dxa"/>
            <w:shd w:val="clear" w:color="auto" w:fill="99FF66"/>
          </w:tcPr>
          <w:p w:rsidR="004554E1" w:rsidRDefault="001D63A8" w:rsidP="003E07E9">
            <w:pPr>
              <w:jc w:val="right"/>
            </w:pPr>
            <w:r>
              <w:t>1196.13</w:t>
            </w:r>
          </w:p>
        </w:tc>
        <w:tc>
          <w:tcPr>
            <w:tcW w:w="992" w:type="dxa"/>
            <w:shd w:val="clear" w:color="auto" w:fill="99FF66"/>
          </w:tcPr>
          <w:p w:rsidR="004554E1" w:rsidRDefault="001D63A8" w:rsidP="003E07E9">
            <w:pPr>
              <w:jc w:val="right"/>
            </w:pPr>
            <w:r>
              <w:t>1195.63</w:t>
            </w:r>
          </w:p>
        </w:tc>
        <w:tc>
          <w:tcPr>
            <w:tcW w:w="992" w:type="dxa"/>
            <w:shd w:val="clear" w:color="auto" w:fill="99FF66"/>
          </w:tcPr>
          <w:p w:rsidR="004554E1" w:rsidRPr="003E07E9" w:rsidRDefault="001D63A8" w:rsidP="003E07E9">
            <w:pPr>
              <w:jc w:val="right"/>
              <w:rPr>
                <w:color w:val="0000FF"/>
              </w:rPr>
            </w:pPr>
            <w:r w:rsidRPr="003E07E9">
              <w:rPr>
                <w:color w:val="0000FF"/>
              </w:rPr>
              <w:t>0.50</w:t>
            </w:r>
          </w:p>
        </w:tc>
        <w:tc>
          <w:tcPr>
            <w:tcW w:w="851" w:type="dxa"/>
            <w:shd w:val="clear" w:color="auto" w:fill="99FF66"/>
          </w:tcPr>
          <w:p w:rsidR="004554E1" w:rsidRPr="003E07E9" w:rsidRDefault="00F426FA" w:rsidP="003E07E9">
            <w:pPr>
              <w:jc w:val="right"/>
              <w:rPr>
                <w:color w:val="0000FF"/>
              </w:rPr>
            </w:pPr>
            <w:r w:rsidRPr="003E07E9">
              <w:rPr>
                <w:color w:val="0000FF"/>
              </w:rPr>
              <w:t>0.04</w:t>
            </w:r>
          </w:p>
        </w:tc>
        <w:tc>
          <w:tcPr>
            <w:tcW w:w="992" w:type="dxa"/>
            <w:shd w:val="clear" w:color="auto" w:fill="99FF66"/>
          </w:tcPr>
          <w:p w:rsidR="004554E1" w:rsidRDefault="00F426FA" w:rsidP="003E07E9">
            <w:pPr>
              <w:jc w:val="right"/>
            </w:pPr>
            <w:r>
              <w:t>1196.50</w:t>
            </w:r>
          </w:p>
        </w:tc>
        <w:tc>
          <w:tcPr>
            <w:tcW w:w="1134" w:type="dxa"/>
            <w:shd w:val="clear" w:color="auto" w:fill="99FF66"/>
          </w:tcPr>
          <w:p w:rsidR="004554E1" w:rsidRDefault="00F426FA" w:rsidP="003E07E9">
            <w:pPr>
              <w:jc w:val="right"/>
            </w:pPr>
            <w:r>
              <w:t>1193.75</w:t>
            </w:r>
          </w:p>
        </w:tc>
        <w:tc>
          <w:tcPr>
            <w:tcW w:w="1276" w:type="dxa"/>
            <w:shd w:val="clear" w:color="auto" w:fill="99FF66"/>
          </w:tcPr>
          <w:p w:rsidR="004554E1" w:rsidRDefault="00F426FA" w:rsidP="003E07E9">
            <w:pPr>
              <w:jc w:val="right"/>
            </w:pPr>
            <w:r>
              <w:t>04:22</w:t>
            </w:r>
          </w:p>
        </w:tc>
      </w:tr>
      <w:tr w:rsidR="00C800C5" w:rsidTr="00C800C5">
        <w:tc>
          <w:tcPr>
            <w:tcW w:w="1702" w:type="dxa"/>
            <w:shd w:val="clear" w:color="auto" w:fill="CCFF99"/>
          </w:tcPr>
          <w:p w:rsidR="004554E1" w:rsidRDefault="00522981" w:rsidP="008B3530">
            <w:r>
              <w:t xml:space="preserve">S&amp;P 500 </w:t>
            </w:r>
            <w:proofErr w:type="spellStart"/>
            <w:r>
              <w:t>Indx</w:t>
            </w:r>
            <w:proofErr w:type="spellEnd"/>
          </w:p>
        </w:tc>
        <w:tc>
          <w:tcPr>
            <w:tcW w:w="992" w:type="dxa"/>
            <w:shd w:val="clear" w:color="auto" w:fill="CCFF99"/>
          </w:tcPr>
          <w:p w:rsidR="004554E1" w:rsidRDefault="001D63A8" w:rsidP="003E07E9">
            <w:pPr>
              <w:jc w:val="right"/>
            </w:pPr>
            <w:r>
              <w:t>1195.75</w:t>
            </w:r>
          </w:p>
        </w:tc>
        <w:tc>
          <w:tcPr>
            <w:tcW w:w="993" w:type="dxa"/>
            <w:shd w:val="clear" w:color="auto" w:fill="CCFF99"/>
          </w:tcPr>
          <w:p w:rsidR="004554E1" w:rsidRDefault="001D63A8" w:rsidP="003E07E9">
            <w:pPr>
              <w:jc w:val="right"/>
            </w:pPr>
            <w:r>
              <w:t>1196.25</w:t>
            </w:r>
          </w:p>
        </w:tc>
        <w:tc>
          <w:tcPr>
            <w:tcW w:w="992" w:type="dxa"/>
            <w:shd w:val="clear" w:color="auto" w:fill="CCFF99"/>
          </w:tcPr>
          <w:p w:rsidR="004554E1" w:rsidRDefault="001D63A8" w:rsidP="003E07E9">
            <w:pPr>
              <w:jc w:val="right"/>
            </w:pPr>
            <w:r>
              <w:t>1195.75</w:t>
            </w:r>
          </w:p>
        </w:tc>
        <w:tc>
          <w:tcPr>
            <w:tcW w:w="992" w:type="dxa"/>
            <w:shd w:val="clear" w:color="auto" w:fill="CCFF99"/>
          </w:tcPr>
          <w:p w:rsidR="004554E1" w:rsidRPr="003E07E9" w:rsidRDefault="001D63A8" w:rsidP="003E07E9">
            <w:pPr>
              <w:jc w:val="right"/>
              <w:rPr>
                <w:color w:val="0000FF"/>
              </w:rPr>
            </w:pPr>
            <w:r w:rsidRPr="003E07E9">
              <w:rPr>
                <w:color w:val="0000FF"/>
              </w:rPr>
              <w:t>0.25</w:t>
            </w:r>
          </w:p>
        </w:tc>
        <w:tc>
          <w:tcPr>
            <w:tcW w:w="851" w:type="dxa"/>
            <w:shd w:val="clear" w:color="auto" w:fill="CCFF99"/>
          </w:tcPr>
          <w:p w:rsidR="004554E1" w:rsidRPr="003E07E9" w:rsidRDefault="00F426FA" w:rsidP="003E07E9">
            <w:pPr>
              <w:jc w:val="right"/>
              <w:rPr>
                <w:color w:val="0000FF"/>
              </w:rPr>
            </w:pPr>
            <w:r w:rsidRPr="003E07E9">
              <w:rPr>
                <w:color w:val="0000FF"/>
              </w:rPr>
              <w:t>0.02</w:t>
            </w:r>
          </w:p>
        </w:tc>
        <w:tc>
          <w:tcPr>
            <w:tcW w:w="992" w:type="dxa"/>
            <w:shd w:val="clear" w:color="auto" w:fill="CCFF99"/>
          </w:tcPr>
          <w:p w:rsidR="004554E1" w:rsidRDefault="00F426FA" w:rsidP="003E07E9">
            <w:pPr>
              <w:jc w:val="right"/>
            </w:pPr>
            <w:r>
              <w:t>1196.50</w:t>
            </w:r>
          </w:p>
        </w:tc>
        <w:tc>
          <w:tcPr>
            <w:tcW w:w="1134" w:type="dxa"/>
            <w:shd w:val="clear" w:color="auto" w:fill="CCFF99"/>
          </w:tcPr>
          <w:p w:rsidR="004554E1" w:rsidRDefault="00F426FA" w:rsidP="003E07E9">
            <w:pPr>
              <w:jc w:val="right"/>
            </w:pPr>
            <w:r>
              <w:t>1193.75</w:t>
            </w:r>
          </w:p>
        </w:tc>
        <w:tc>
          <w:tcPr>
            <w:tcW w:w="1276" w:type="dxa"/>
            <w:shd w:val="clear" w:color="auto" w:fill="CCFF99"/>
          </w:tcPr>
          <w:p w:rsidR="004554E1" w:rsidRDefault="00F426FA" w:rsidP="003E07E9">
            <w:pPr>
              <w:jc w:val="right"/>
            </w:pPr>
            <w:r>
              <w:t>04:22</w:t>
            </w:r>
          </w:p>
        </w:tc>
      </w:tr>
      <w:tr w:rsidR="00C800C5" w:rsidTr="00C800C5">
        <w:tc>
          <w:tcPr>
            <w:tcW w:w="1702" w:type="dxa"/>
            <w:shd w:val="clear" w:color="auto" w:fill="99FF66"/>
          </w:tcPr>
          <w:p w:rsidR="004554E1" w:rsidRDefault="00522981" w:rsidP="008B3530">
            <w:r>
              <w:t xml:space="preserve">NIKKEI 225 </w:t>
            </w:r>
            <w:proofErr w:type="spellStart"/>
            <w:r>
              <w:t>Fut</w:t>
            </w:r>
            <w:proofErr w:type="spellEnd"/>
          </w:p>
        </w:tc>
        <w:tc>
          <w:tcPr>
            <w:tcW w:w="992" w:type="dxa"/>
            <w:shd w:val="clear" w:color="auto" w:fill="99FF66"/>
          </w:tcPr>
          <w:p w:rsidR="004554E1" w:rsidRDefault="001D63A8" w:rsidP="003E07E9">
            <w:pPr>
              <w:jc w:val="right"/>
            </w:pPr>
            <w:r>
              <w:t>11857</w:t>
            </w:r>
          </w:p>
        </w:tc>
        <w:tc>
          <w:tcPr>
            <w:tcW w:w="993" w:type="dxa"/>
            <w:shd w:val="clear" w:color="auto" w:fill="99FF66"/>
          </w:tcPr>
          <w:p w:rsidR="004554E1" w:rsidRDefault="001D63A8" w:rsidP="003E07E9">
            <w:pPr>
              <w:jc w:val="right"/>
            </w:pPr>
            <w:r>
              <w:t>11862</w:t>
            </w:r>
          </w:p>
        </w:tc>
        <w:tc>
          <w:tcPr>
            <w:tcW w:w="992" w:type="dxa"/>
            <w:shd w:val="clear" w:color="auto" w:fill="99FF66"/>
          </w:tcPr>
          <w:p w:rsidR="004554E1" w:rsidRDefault="001D63A8" w:rsidP="003E07E9">
            <w:pPr>
              <w:jc w:val="right"/>
            </w:pPr>
            <w:r>
              <w:t>11857</w:t>
            </w:r>
          </w:p>
        </w:tc>
        <w:tc>
          <w:tcPr>
            <w:tcW w:w="992" w:type="dxa"/>
            <w:shd w:val="clear" w:color="auto" w:fill="99FF66"/>
          </w:tcPr>
          <w:p w:rsidR="004554E1" w:rsidRPr="003E07E9" w:rsidRDefault="001D63A8" w:rsidP="003E07E9">
            <w:pPr>
              <w:jc w:val="right"/>
              <w:rPr>
                <w:color w:val="0000FF"/>
              </w:rPr>
            </w:pPr>
            <w:r w:rsidRPr="003E07E9">
              <w:rPr>
                <w:color w:val="0000FF"/>
              </w:rPr>
              <w:t>0</w:t>
            </w:r>
          </w:p>
        </w:tc>
        <w:tc>
          <w:tcPr>
            <w:tcW w:w="851" w:type="dxa"/>
            <w:shd w:val="clear" w:color="auto" w:fill="99FF66"/>
          </w:tcPr>
          <w:p w:rsidR="004554E1" w:rsidRPr="003E07E9" w:rsidRDefault="00F426FA" w:rsidP="003E07E9">
            <w:pPr>
              <w:jc w:val="right"/>
              <w:rPr>
                <w:color w:val="0000FF"/>
              </w:rPr>
            </w:pPr>
            <w:r w:rsidRPr="003E07E9">
              <w:rPr>
                <w:color w:val="0000FF"/>
              </w:rPr>
              <w:t>0.00</w:t>
            </w:r>
          </w:p>
        </w:tc>
        <w:tc>
          <w:tcPr>
            <w:tcW w:w="992" w:type="dxa"/>
            <w:shd w:val="clear" w:color="auto" w:fill="99FF66"/>
          </w:tcPr>
          <w:p w:rsidR="004554E1" w:rsidRDefault="00F426FA" w:rsidP="003E07E9">
            <w:pPr>
              <w:jc w:val="right"/>
            </w:pPr>
            <w:r>
              <w:t>11965</w:t>
            </w:r>
          </w:p>
        </w:tc>
        <w:tc>
          <w:tcPr>
            <w:tcW w:w="1134" w:type="dxa"/>
            <w:shd w:val="clear" w:color="auto" w:fill="99FF66"/>
          </w:tcPr>
          <w:p w:rsidR="004554E1" w:rsidRDefault="00F426FA" w:rsidP="003E07E9">
            <w:pPr>
              <w:jc w:val="right"/>
            </w:pPr>
            <w:r>
              <w:t>11840</w:t>
            </w:r>
          </w:p>
        </w:tc>
        <w:tc>
          <w:tcPr>
            <w:tcW w:w="1276" w:type="dxa"/>
            <w:shd w:val="clear" w:color="auto" w:fill="99FF66"/>
          </w:tcPr>
          <w:p w:rsidR="004554E1" w:rsidRDefault="00F426FA" w:rsidP="003E07E9">
            <w:pPr>
              <w:jc w:val="right"/>
            </w:pPr>
            <w:r>
              <w:t>17:32</w:t>
            </w:r>
          </w:p>
        </w:tc>
      </w:tr>
    </w:tbl>
    <w:p w:rsidR="008B3530" w:rsidRDefault="008B3530" w:rsidP="008B3530"/>
    <w:p w:rsidR="00C800C5" w:rsidRPr="00C800C5" w:rsidRDefault="00C800C5" w:rsidP="00C800C5">
      <w:pPr>
        <w:jc w:val="center"/>
        <w:rPr>
          <w:rFonts w:ascii="Times New Roman" w:hAnsi="Times New Roman" w:cs="Times New Roman"/>
          <w:sz w:val="28"/>
          <w:u w:val="dottedHeavy"/>
        </w:rPr>
      </w:pPr>
      <w:r w:rsidRPr="00C800C5">
        <w:rPr>
          <w:rFonts w:ascii="Times New Roman" w:hAnsi="Times New Roman" w:cs="Times New Roman"/>
          <w:sz w:val="28"/>
          <w:u w:val="dottedHeavy"/>
        </w:rPr>
        <w:t>Las principales bolsas mundiales son las siguientes:</w:t>
      </w:r>
    </w:p>
    <w:p w:rsidR="00686AFB" w:rsidRDefault="00907308" w:rsidP="0029217E">
      <w:pPr>
        <w:tabs>
          <w:tab w:val="left" w:pos="567"/>
          <w:tab w:val="center" w:pos="3969"/>
          <w:tab w:val="right" w:pos="7938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Índice</w:t>
      </w:r>
      <w:r>
        <w:rPr>
          <w:rFonts w:ascii="Times New Roman" w:hAnsi="Times New Roman" w:cs="Times New Roman"/>
          <w:sz w:val="24"/>
        </w:rPr>
        <w:tab/>
        <w:t>País</w:t>
      </w:r>
      <w:r>
        <w:rPr>
          <w:rFonts w:ascii="Times New Roman" w:hAnsi="Times New Roman" w:cs="Times New Roman"/>
          <w:sz w:val="24"/>
        </w:rPr>
        <w:tab/>
        <w:t>Ciudad</w:t>
      </w:r>
    </w:p>
    <w:p w:rsidR="00907308" w:rsidRDefault="00907308" w:rsidP="0029217E">
      <w:pPr>
        <w:tabs>
          <w:tab w:val="left" w:pos="851"/>
          <w:tab w:val="center" w:leader="dot" w:pos="3969"/>
          <w:tab w:val="right" w:leader="dot" w:pos="7938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IBEX-35</w:t>
      </w:r>
      <w:r>
        <w:rPr>
          <w:rFonts w:ascii="Times New Roman" w:hAnsi="Times New Roman" w:cs="Times New Roman"/>
          <w:sz w:val="24"/>
        </w:rPr>
        <w:tab/>
        <w:t>España</w:t>
      </w:r>
      <w:r>
        <w:rPr>
          <w:rFonts w:ascii="Times New Roman" w:hAnsi="Times New Roman" w:cs="Times New Roman"/>
          <w:sz w:val="24"/>
        </w:rPr>
        <w:tab/>
        <w:t>Madrid</w:t>
      </w:r>
    </w:p>
    <w:p w:rsidR="00907308" w:rsidRDefault="00907308" w:rsidP="0029217E">
      <w:pPr>
        <w:tabs>
          <w:tab w:val="left" w:pos="851"/>
          <w:tab w:val="center" w:leader="dot" w:pos="3969"/>
          <w:tab w:val="right" w:leader="dot" w:pos="7938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NIKKEI</w:t>
      </w:r>
      <w:r>
        <w:rPr>
          <w:rFonts w:ascii="Times New Roman" w:hAnsi="Times New Roman" w:cs="Times New Roman"/>
          <w:sz w:val="24"/>
        </w:rPr>
        <w:tab/>
        <w:t>Jap</w:t>
      </w:r>
      <w:r w:rsidR="0029217E">
        <w:rPr>
          <w:rFonts w:ascii="Times New Roman" w:hAnsi="Times New Roman" w:cs="Times New Roman"/>
          <w:sz w:val="24"/>
        </w:rPr>
        <w:t>ón</w:t>
      </w:r>
      <w:r w:rsidR="0029217E">
        <w:rPr>
          <w:rFonts w:ascii="Times New Roman" w:hAnsi="Times New Roman" w:cs="Times New Roman"/>
          <w:sz w:val="24"/>
        </w:rPr>
        <w:tab/>
        <w:t>Tokio</w:t>
      </w:r>
    </w:p>
    <w:p w:rsidR="0029217E" w:rsidRDefault="0029217E" w:rsidP="0029217E">
      <w:pPr>
        <w:tabs>
          <w:tab w:val="left" w:pos="851"/>
          <w:tab w:val="center" w:leader="dot" w:pos="3969"/>
          <w:tab w:val="right" w:leader="dot" w:pos="7938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NASDAQ</w:t>
      </w:r>
      <w:r>
        <w:rPr>
          <w:rFonts w:ascii="Times New Roman" w:hAnsi="Times New Roman" w:cs="Times New Roman"/>
          <w:sz w:val="24"/>
        </w:rPr>
        <w:tab/>
        <w:t>Estados Unidos</w:t>
      </w:r>
      <w:r>
        <w:rPr>
          <w:rFonts w:ascii="Times New Roman" w:hAnsi="Times New Roman" w:cs="Times New Roman"/>
          <w:sz w:val="24"/>
        </w:rPr>
        <w:tab/>
        <w:t>Nueva York</w:t>
      </w:r>
    </w:p>
    <w:p w:rsidR="0029217E" w:rsidRPr="0029217E" w:rsidRDefault="00C800C5" w:rsidP="0029217E">
      <w:pPr>
        <w:jc w:val="center"/>
        <w:rPr>
          <w:rFonts w:ascii="Times New Roman" w:hAnsi="Times New Roman" w:cs="Times New Roman"/>
          <w:sz w:val="28"/>
          <w:u w:val="dottedHeavy"/>
        </w:rPr>
      </w:pPr>
      <w:r w:rsidRPr="0029217E">
        <w:rPr>
          <w:rFonts w:ascii="Times New Roman" w:hAnsi="Times New Roman" w:cs="Times New Roman"/>
          <w:sz w:val="28"/>
          <w:u w:val="dottedHeavy"/>
        </w:rPr>
        <w:t xml:space="preserve">El grupo </w:t>
      </w:r>
      <w:proofErr w:type="spellStart"/>
      <w:r w:rsidRPr="0029217E">
        <w:rPr>
          <w:rFonts w:ascii="Times New Roman" w:hAnsi="Times New Roman" w:cs="Times New Roman"/>
          <w:sz w:val="28"/>
          <w:u w:val="dottedHeavy"/>
        </w:rPr>
        <w:t>Abengoa</w:t>
      </w:r>
      <w:proofErr w:type="spellEnd"/>
      <w:r w:rsidRPr="0029217E">
        <w:rPr>
          <w:rFonts w:ascii="Times New Roman" w:hAnsi="Times New Roman" w:cs="Times New Roman"/>
          <w:sz w:val="28"/>
          <w:u w:val="dottedHeavy"/>
        </w:rPr>
        <w:t xml:space="preserve"> reitera su confianza en el proyecto de la compañía </w:t>
      </w:r>
      <w:proofErr w:type="spellStart"/>
      <w:r w:rsidRPr="0029217E">
        <w:rPr>
          <w:rFonts w:ascii="Times New Roman" w:hAnsi="Times New Roman" w:cs="Times New Roman"/>
          <w:sz w:val="28"/>
          <w:u w:val="dottedHeavy"/>
        </w:rPr>
        <w:t>Xfera</w:t>
      </w:r>
      <w:proofErr w:type="spellEnd"/>
    </w:p>
    <w:p w:rsidR="00DE6F4A" w:rsidRDefault="00DE6F4A" w:rsidP="008B3530">
      <w:pPr>
        <w:rPr>
          <w:rFonts w:ascii="Times New Roman" w:hAnsi="Times New Roman" w:cs="Times New Roman"/>
          <w:sz w:val="24"/>
        </w:rPr>
        <w:sectPr w:rsidR="00DE6F4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800C5" w:rsidRPr="00DE6F4A" w:rsidRDefault="00C800C5" w:rsidP="008B3530">
      <w:pPr>
        <w:rPr>
          <w:rFonts w:ascii="Times New Roman" w:hAnsi="Times New Roman" w:cs="Times New Roman"/>
        </w:rPr>
      </w:pPr>
      <w:r w:rsidRPr="00DE6F4A">
        <w:rPr>
          <w:rFonts w:ascii="Times New Roman" w:hAnsi="Times New Roman" w:cs="Times New Roman"/>
        </w:rPr>
        <w:lastRenderedPageBreak/>
        <w:t xml:space="preserve">El presidente de </w:t>
      </w:r>
      <w:proofErr w:type="spellStart"/>
      <w:r w:rsidRPr="00DE6F4A">
        <w:rPr>
          <w:rFonts w:ascii="Times New Roman" w:hAnsi="Times New Roman" w:cs="Times New Roman"/>
          <w:b/>
        </w:rPr>
        <w:t>Abengoa</w:t>
      </w:r>
      <w:proofErr w:type="spellEnd"/>
      <w:r w:rsidRPr="00DE6F4A">
        <w:rPr>
          <w:rFonts w:ascii="Times New Roman" w:hAnsi="Times New Roman" w:cs="Times New Roman"/>
          <w:b/>
        </w:rPr>
        <w:t>, Javier Benjumea</w:t>
      </w:r>
      <w:r w:rsidRPr="00DE6F4A">
        <w:rPr>
          <w:rFonts w:ascii="Times New Roman" w:hAnsi="Times New Roman" w:cs="Times New Roman"/>
        </w:rPr>
        <w:t xml:space="preserve">, aprovechó ayer la junta general de accionistas de la </w:t>
      </w:r>
      <w:r w:rsidR="00F97DCA" w:rsidRPr="00DE6F4A">
        <w:rPr>
          <w:rFonts w:ascii="Times New Roman" w:hAnsi="Times New Roman" w:cs="Times New Roman"/>
        </w:rPr>
        <w:t>compañía</w:t>
      </w:r>
      <w:r w:rsidRPr="00DE6F4A">
        <w:rPr>
          <w:rFonts w:ascii="Times New Roman" w:hAnsi="Times New Roman" w:cs="Times New Roman"/>
        </w:rPr>
        <w:t xml:space="preserve">, celebrada en Sevilla, para reiterar expresamente su apuesta por </w:t>
      </w:r>
      <w:proofErr w:type="spellStart"/>
      <w:r w:rsidRPr="00DE6F4A">
        <w:rPr>
          <w:rFonts w:ascii="Times New Roman" w:hAnsi="Times New Roman" w:cs="Times New Roman"/>
        </w:rPr>
        <w:t>Xfera</w:t>
      </w:r>
      <w:proofErr w:type="spellEnd"/>
      <w:r w:rsidRPr="00DE6F4A">
        <w:rPr>
          <w:rFonts w:ascii="Times New Roman" w:hAnsi="Times New Roman" w:cs="Times New Roman"/>
        </w:rPr>
        <w:t xml:space="preserve">. Apuesta que viene a sumarse a las recientes declaraciones del resto de los principales accionistas de la operadora </w:t>
      </w:r>
      <w:r w:rsidR="00F97DCA" w:rsidRPr="00DE6F4A">
        <w:rPr>
          <w:rFonts w:ascii="Times New Roman" w:hAnsi="Times New Roman" w:cs="Times New Roman"/>
        </w:rPr>
        <w:t>telefónica</w:t>
      </w:r>
      <w:r w:rsidRPr="00DE6F4A">
        <w:rPr>
          <w:rFonts w:ascii="Times New Roman" w:hAnsi="Times New Roman" w:cs="Times New Roman"/>
        </w:rPr>
        <w:t xml:space="preserve"> y a las del consejero delegado de la propia </w:t>
      </w:r>
      <w:proofErr w:type="spellStart"/>
      <w:r w:rsidRPr="00DE6F4A">
        <w:rPr>
          <w:rFonts w:ascii="Times New Roman" w:hAnsi="Times New Roman" w:cs="Times New Roman"/>
        </w:rPr>
        <w:t>Xfera</w:t>
      </w:r>
      <w:proofErr w:type="spellEnd"/>
      <w:r w:rsidRPr="00DE6F4A">
        <w:rPr>
          <w:rFonts w:ascii="Times New Roman" w:hAnsi="Times New Roman" w:cs="Times New Roman"/>
        </w:rPr>
        <w:t xml:space="preserve">. La </w:t>
      </w:r>
      <w:r w:rsidRPr="00DE6F4A">
        <w:rPr>
          <w:rFonts w:ascii="Times New Roman" w:hAnsi="Times New Roman" w:cs="Times New Roman"/>
        </w:rPr>
        <w:lastRenderedPageBreak/>
        <w:t xml:space="preserve">culminación </w:t>
      </w:r>
      <w:bookmarkStart w:id="0" w:name="_GoBack"/>
      <w:bookmarkEnd w:id="0"/>
      <w:r w:rsidRPr="00DE6F4A">
        <w:rPr>
          <w:rFonts w:ascii="Times New Roman" w:hAnsi="Times New Roman" w:cs="Times New Roman"/>
        </w:rPr>
        <w:t>de las avanzadas negociaciones para la entrada de un nuevo accionista, que responda además a un perfil con experiencia en el sector de las telecomunicaciones e interesado en el despliegue de redes de tercera</w:t>
      </w:r>
      <w:r w:rsidRPr="00DE6F4A">
        <w:rPr>
          <w:rFonts w:ascii="Times New Roman" w:hAnsi="Times New Roman" w:cs="Times New Roman"/>
          <w:i/>
        </w:rPr>
        <w:t xml:space="preserve"> generación UMTS en Europa</w:t>
      </w:r>
      <w:r w:rsidRPr="00DE6F4A">
        <w:rPr>
          <w:rFonts w:ascii="Times New Roman" w:hAnsi="Times New Roman" w:cs="Times New Roman"/>
        </w:rPr>
        <w:t xml:space="preserve">, </w:t>
      </w:r>
      <w:r w:rsidR="00DE6F4A" w:rsidRPr="00DE6F4A">
        <w:rPr>
          <w:rFonts w:ascii="Times New Roman" w:hAnsi="Times New Roman" w:cs="Times New Roman"/>
        </w:rPr>
        <w:t>aceleraría</w:t>
      </w:r>
      <w:r w:rsidRPr="00DE6F4A">
        <w:rPr>
          <w:rFonts w:ascii="Times New Roman" w:hAnsi="Times New Roman" w:cs="Times New Roman"/>
        </w:rPr>
        <w:t xml:space="preserve"> el lanzamiento comercial de la operadora</w:t>
      </w:r>
      <w:r w:rsidR="00DE6F4A" w:rsidRPr="00DE6F4A">
        <w:rPr>
          <w:rFonts w:ascii="Times New Roman" w:hAnsi="Times New Roman" w:cs="Times New Roman"/>
        </w:rPr>
        <w:t>.</w:t>
      </w:r>
    </w:p>
    <w:sectPr w:rsidR="00C800C5" w:rsidRPr="00DE6F4A" w:rsidSect="00DE6F4A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EE1"/>
    <w:rsid w:val="001641DA"/>
    <w:rsid w:val="001D63A8"/>
    <w:rsid w:val="0029217E"/>
    <w:rsid w:val="00307EEB"/>
    <w:rsid w:val="003E07E9"/>
    <w:rsid w:val="004554E1"/>
    <w:rsid w:val="00517AC6"/>
    <w:rsid w:val="00522981"/>
    <w:rsid w:val="00686AFB"/>
    <w:rsid w:val="008B3530"/>
    <w:rsid w:val="00907308"/>
    <w:rsid w:val="00AD210C"/>
    <w:rsid w:val="00C800C5"/>
    <w:rsid w:val="00DE6F4A"/>
    <w:rsid w:val="00DF0160"/>
    <w:rsid w:val="00EE0EE1"/>
    <w:rsid w:val="00F426FA"/>
    <w:rsid w:val="00F9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55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55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lilaa</dc:creator>
  <cp:keywords/>
  <dc:description/>
  <cp:lastModifiedBy>lilaa</cp:lastModifiedBy>
  <cp:revision>2</cp:revision>
  <dcterms:created xsi:type="dcterms:W3CDTF">2020-11-26T23:39:00Z</dcterms:created>
  <dcterms:modified xsi:type="dcterms:W3CDTF">2020-11-27T00:04:00Z</dcterms:modified>
</cp:coreProperties>
</file>