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14525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1966"/>
        <w:gridCol w:w="4294"/>
        <w:gridCol w:w="4436"/>
        <w:gridCol w:w="104"/>
        <w:gridCol w:w="3725"/>
      </w:tblGrid>
      <w:tr w:rsidR="00D12BCB" w:rsidRPr="00B10ABF" w:rsidTr="007C6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D12BCB" w:rsidRPr="00B10ABF" w:rsidRDefault="00D12BCB" w:rsidP="00EB5CA3">
            <w:pPr>
              <w:jc w:val="center"/>
              <w:rPr>
                <w:rFonts w:ascii="Times New Roman" w:hAnsi="Times New Roman" w:cs="Times New Roman"/>
              </w:rPr>
            </w:pPr>
            <w:r w:rsidRPr="00B10ABF">
              <w:rPr>
                <w:rFonts w:ascii="Times New Roman" w:hAnsi="Times New Roman" w:cs="Times New Roman"/>
              </w:rPr>
              <w:t>THEME</w:t>
            </w:r>
          </w:p>
        </w:tc>
        <w:tc>
          <w:tcPr>
            <w:tcW w:w="4294" w:type="dxa"/>
          </w:tcPr>
          <w:p w:rsidR="00D12BCB" w:rsidRPr="00B10ABF" w:rsidRDefault="00D12BCB" w:rsidP="00EB5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0ABF">
              <w:rPr>
                <w:rFonts w:ascii="Times New Roman" w:hAnsi="Times New Roman" w:cs="Times New Roman"/>
              </w:rPr>
              <w:t>MAIN FINDINGS</w:t>
            </w:r>
          </w:p>
        </w:tc>
        <w:tc>
          <w:tcPr>
            <w:tcW w:w="4436" w:type="dxa"/>
          </w:tcPr>
          <w:p w:rsidR="00D12BCB" w:rsidRPr="00B10ABF" w:rsidRDefault="00D12BCB" w:rsidP="00EB5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LINKED TO</w:t>
            </w:r>
          </w:p>
        </w:tc>
        <w:tc>
          <w:tcPr>
            <w:tcW w:w="3829" w:type="dxa"/>
            <w:gridSpan w:val="2"/>
          </w:tcPr>
          <w:p w:rsidR="00D12BCB" w:rsidRPr="00B10ABF" w:rsidRDefault="007C6DE2" w:rsidP="00EB5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BibTeX</w:t>
            </w:r>
            <w:proofErr w:type="spellEnd"/>
            <w:r w:rsidR="00D12BCB" w:rsidRPr="00B10ABF">
              <w:rPr>
                <w:rFonts w:ascii="Times New Roman" w:hAnsi="Times New Roman" w:cs="Times New Roman"/>
              </w:rPr>
              <w:br/>
            </w:r>
          </w:p>
        </w:tc>
      </w:tr>
      <w:tr w:rsidR="00D12BCB" w:rsidRPr="00B10ABF" w:rsidTr="00D1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5" w:type="dxa"/>
            <w:gridSpan w:val="5"/>
            <w:shd w:val="clear" w:color="auto" w:fill="000000" w:themeFill="text1"/>
          </w:tcPr>
          <w:p w:rsidR="007C6DE2" w:rsidRPr="007C6DE2" w:rsidRDefault="007C6DE2" w:rsidP="007C6D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Yang, J., Hu, X., &amp; Zhang, H. (2007). Effects of a reputation feedback system on an online consumer-to-consumer auction market. </w:t>
            </w:r>
            <w:r w:rsidRPr="007C6D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Decision Support Systems</w:t>
            </w:r>
            <w:r w:rsidRPr="007C6D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C6D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44</w:t>
            </w:r>
            <w:r w:rsidRPr="007C6DE2">
              <w:rPr>
                <w:rFonts w:ascii="Times New Roman" w:eastAsia="Times New Roman" w:hAnsi="Times New Roman" w:cs="Times New Roman"/>
                <w:sz w:val="24"/>
                <w:szCs w:val="24"/>
              </w:rPr>
              <w:t>(1), 93-105.</w:t>
            </w:r>
          </w:p>
          <w:p w:rsidR="00D12BCB" w:rsidRPr="00B10ABF" w:rsidRDefault="00D12BCB" w:rsidP="00EB5C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6DE2" w:rsidRPr="00B10ABF" w:rsidTr="007C6DE2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 w:val="restart"/>
          </w:tcPr>
          <w:p w:rsidR="007C6DE2" w:rsidRDefault="007C6DE2" w:rsidP="00EB5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theories applied to online feedback systems.</w:t>
            </w:r>
          </w:p>
          <w:p w:rsidR="007C6DE2" w:rsidRDefault="007C6DE2" w:rsidP="007C6DE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It establishes a dynamic game-theoretic model for the mechanism of reputation feedback systems in online C2C auction markets.</w:t>
            </w:r>
          </w:p>
          <w:p w:rsidR="007C6DE2" w:rsidRPr="00B10ABF" w:rsidRDefault="007C6DE2" w:rsidP="00EB5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4" w:type="dxa"/>
          </w:tcPr>
          <w:p w:rsidR="007C6DE2" w:rsidRDefault="007C6DE2" w:rsidP="007C6DE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TT6120e2aa" w:hAnsi="AdvTT6120e2aa" w:cs="AdvTT6120e2aa"/>
              </w:rPr>
            </w:pPr>
            <w:r>
              <w:rPr>
                <w:rFonts w:ascii="AdvTT6120e2aa" w:hAnsi="AdvTT6120e2aa" w:cs="AdvTT6120e2aa"/>
              </w:rPr>
              <w:t>Our results confirm that the existence of a feedback system improves the well-being of buyers and enhances their willingness to trade, and it deters dishonest behavior from sellers. Thus with the feedback system, the online C2C auction market as a whole becomes more healthy and attractive to buyers and honest sellers alike.</w:t>
            </w:r>
          </w:p>
          <w:p w:rsidR="007C6DE2" w:rsidRPr="00444651" w:rsidRDefault="007C6DE2" w:rsidP="007C6DE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40" w:type="dxa"/>
            <w:gridSpan w:val="2"/>
          </w:tcPr>
          <w:p w:rsidR="007C6DE2" w:rsidRPr="00B10ABF" w:rsidRDefault="007C6DE2" w:rsidP="00EB5CA3">
            <w:pPr>
              <w:ind w:right="9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theories, Introduction; Online feedback systems</w:t>
            </w:r>
          </w:p>
        </w:tc>
        <w:tc>
          <w:tcPr>
            <w:tcW w:w="3725" w:type="dxa"/>
            <w:vMerge w:val="restart"/>
          </w:tcPr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>@article{yang2007effects,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title={Effects of a reputation feedback system on an online consumer-to-consumer auction market},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author={Yang, Jian and Hu, </w:t>
            </w:r>
            <w:proofErr w:type="spellStart"/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>Xiaorui</w:t>
            </w:r>
            <w:proofErr w:type="spellEnd"/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Zhang, Han},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journal={Decision Support Systems},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volume={44},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number={1},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pages={93--105},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year={2007},</w:t>
            </w:r>
          </w:p>
          <w:p w:rsidR="007C6DE2" w:rsidRPr="007C6DE2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publisher={Elsevier}</w:t>
            </w:r>
          </w:p>
          <w:p w:rsidR="007C6DE2" w:rsidRPr="00B10ABF" w:rsidRDefault="007C6DE2" w:rsidP="007C6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6DE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7C6DE2" w:rsidRPr="00B10ABF" w:rsidTr="007C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/>
          </w:tcPr>
          <w:p w:rsidR="007C6DE2" w:rsidRPr="00B10ABF" w:rsidRDefault="007C6DE2" w:rsidP="00EB5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4" w:type="dxa"/>
          </w:tcPr>
          <w:p w:rsidR="007C6DE2" w:rsidRDefault="007C6DE2" w:rsidP="007C6D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vTT6120e2aa" w:hAnsi="AdvTT6120e2aa" w:cs="AdvTT6120e2aa"/>
              </w:rPr>
            </w:pPr>
            <w:r>
              <w:rPr>
                <w:rFonts w:ascii="AdvTT6120e2aa" w:hAnsi="AdvTT6120e2aa" w:cs="AdvTT6120e2aa"/>
              </w:rPr>
              <w:t>Our findings also confirm that a feedback system does establish a positive correlation between a seller's tendency to cheat and his reputation score; that is, the higher the seller's propensity for cheating, the more likely he will have a high reputation score.</w:t>
            </w:r>
          </w:p>
          <w:p w:rsidR="007C6DE2" w:rsidRPr="00B10ABF" w:rsidRDefault="007C6DE2" w:rsidP="007C6D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540" w:type="dxa"/>
            <w:gridSpan w:val="2"/>
          </w:tcPr>
          <w:p w:rsidR="007C6DE2" w:rsidRPr="00B10ABF" w:rsidRDefault="007C6DE2" w:rsidP="00EB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725" w:type="dxa"/>
            <w:vMerge/>
          </w:tcPr>
          <w:p w:rsidR="007C6DE2" w:rsidRPr="00B10ABF" w:rsidRDefault="007C6DE2" w:rsidP="00EB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2BCB" w:rsidRPr="00B10ABF" w:rsidTr="00D12BCB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5" w:type="dxa"/>
            <w:gridSpan w:val="5"/>
            <w:shd w:val="clear" w:color="auto" w:fill="000000" w:themeFill="text1"/>
          </w:tcPr>
          <w:p w:rsidR="00E40EAA" w:rsidRPr="00E40EAA" w:rsidRDefault="00E40EAA" w:rsidP="00E40E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EAA">
              <w:rPr>
                <w:rFonts w:ascii="Times New Roman" w:eastAsia="Times New Roman" w:hAnsi="Times New Roman" w:cs="Times New Roman"/>
                <w:sz w:val="24"/>
                <w:szCs w:val="24"/>
              </w:rPr>
              <w:t>Pavlou</w:t>
            </w:r>
            <w:proofErr w:type="spellEnd"/>
            <w:r w:rsidRPr="00E40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P. A., &amp; </w:t>
            </w:r>
            <w:proofErr w:type="spellStart"/>
            <w:r w:rsidRPr="00E40EAA">
              <w:rPr>
                <w:rFonts w:ascii="Times New Roman" w:eastAsia="Times New Roman" w:hAnsi="Times New Roman" w:cs="Times New Roman"/>
                <w:sz w:val="24"/>
                <w:szCs w:val="24"/>
              </w:rPr>
              <w:t>Dimoka</w:t>
            </w:r>
            <w:proofErr w:type="spellEnd"/>
            <w:r w:rsidRPr="00E40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 (2006). The nature and role of feedback text comments in online marketplaces: Implications for trust building, price premiums, and seller differentiation. </w:t>
            </w:r>
            <w:r w:rsidRPr="00E40E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Information Systems Research</w:t>
            </w:r>
            <w:r w:rsidRPr="00E40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40E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17</w:t>
            </w:r>
            <w:r w:rsidRPr="00E40EAA">
              <w:rPr>
                <w:rFonts w:ascii="Times New Roman" w:eastAsia="Times New Roman" w:hAnsi="Times New Roman" w:cs="Times New Roman"/>
                <w:sz w:val="24"/>
                <w:szCs w:val="24"/>
              </w:rPr>
              <w:t>(4), 392-414.</w:t>
            </w:r>
          </w:p>
          <w:p w:rsidR="00D12BCB" w:rsidRPr="00B10ABF" w:rsidRDefault="00D12BCB" w:rsidP="00D12BCB">
            <w:pPr>
              <w:rPr>
                <w:rFonts w:ascii="Times New Roman" w:hAnsi="Times New Roman" w:cs="Times New Roman"/>
              </w:rPr>
            </w:pPr>
          </w:p>
        </w:tc>
      </w:tr>
      <w:tr w:rsidR="008C7B54" w:rsidRPr="00B10ABF" w:rsidTr="007C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 w:val="restart"/>
            <w:shd w:val="clear" w:color="auto" w:fill="FFFFFF" w:themeFill="background1"/>
          </w:tcPr>
          <w:p w:rsidR="008C7B54" w:rsidRPr="00C662BC" w:rsidRDefault="008C7B54" w:rsidP="008C7B5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sz w:val="23"/>
                <w:szCs w:val="23"/>
              </w:rPr>
              <w:t xml:space="preserve">The analysis of feedback text. This study better predicts how buyers reward trustworthy sellers with price premiums, thus shedding light on the existence and success of online </w:t>
            </w:r>
            <w:r>
              <w:rPr>
                <w:sz w:val="23"/>
                <w:szCs w:val="23"/>
              </w:rPr>
              <w:lastRenderedPageBreak/>
              <w:t>marketplaces that depend on seller differentiation and uncertainty reduction.</w:t>
            </w:r>
          </w:p>
        </w:tc>
        <w:tc>
          <w:tcPr>
            <w:tcW w:w="4294" w:type="dxa"/>
            <w:shd w:val="clear" w:color="auto" w:fill="FFFFFF" w:themeFill="background1"/>
          </w:tcPr>
          <w:p w:rsidR="008C7B54" w:rsidRPr="00C662BC" w:rsidRDefault="008C7B54" w:rsidP="00EB5CA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lastRenderedPageBreak/>
              <w:t>While ‘manufactured’ trust-building arguments by Internet stores may be biased,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3"/>
                <w:szCs w:val="23"/>
              </w:rPr>
              <w:t>text comments written by buyers in online auction marketplaces are likely to be objective, impartial, and unbiased.</w:t>
            </w:r>
          </w:p>
        </w:tc>
        <w:tc>
          <w:tcPr>
            <w:tcW w:w="4436" w:type="dxa"/>
            <w:shd w:val="clear" w:color="auto" w:fill="FFFFFF" w:themeFill="background1"/>
          </w:tcPr>
          <w:p w:rsidR="008C7B54" w:rsidRPr="00C662BC" w:rsidRDefault="008C7B54" w:rsidP="00D12BC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Introduction, OFS</w:t>
            </w:r>
          </w:p>
        </w:tc>
        <w:tc>
          <w:tcPr>
            <w:tcW w:w="3829" w:type="dxa"/>
            <w:gridSpan w:val="2"/>
            <w:vMerge w:val="restart"/>
            <w:shd w:val="clear" w:color="auto" w:fill="FFFFFF" w:themeFill="background1"/>
          </w:tcPr>
          <w:p w:rsidR="008C7B54" w:rsidRDefault="008C7B54" w:rsidP="008C7B5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@article{pavlou2006institutional,</w:t>
            </w:r>
          </w:p>
          <w:p w:rsidR="008C7B54" w:rsidRDefault="008C7B54" w:rsidP="008C7B5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title={Institutional Feedback Technologies in Online Marketplaces: An Investigation of Feedback Text Comments, Trust, and Price Premiums},</w:t>
            </w:r>
          </w:p>
          <w:p w:rsidR="008C7B54" w:rsidRDefault="008C7B54" w:rsidP="008C7B5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Pavlou</w:t>
            </w:r>
            <w:proofErr w:type="spellEnd"/>
            <w:r>
              <w:t xml:space="preserve">, Paul A and </w:t>
            </w:r>
            <w:proofErr w:type="spellStart"/>
            <w:r>
              <w:t>Dimoka</w:t>
            </w:r>
            <w:proofErr w:type="spellEnd"/>
            <w:r>
              <w:t>, Angelika},</w:t>
            </w:r>
          </w:p>
          <w:p w:rsidR="008C7B54" w:rsidRDefault="008C7B54" w:rsidP="008C7B5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journal={Trust, and Price Premiums (February 1, 2006)},</w:t>
            </w:r>
          </w:p>
          <w:p w:rsidR="008C7B54" w:rsidRDefault="008C7B54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year={2006}}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@article{pavlou2006nature,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title={The nature and role of feedback text comments in online marketplaces: Implications for trust building, price premiums, and seller differentiation},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Pavlou</w:t>
            </w:r>
            <w:proofErr w:type="spellEnd"/>
            <w:r>
              <w:t xml:space="preserve">, Paul A and </w:t>
            </w:r>
            <w:proofErr w:type="spellStart"/>
            <w:r>
              <w:t>Dimoka</w:t>
            </w:r>
            <w:proofErr w:type="spellEnd"/>
            <w:r>
              <w:t>, Angelika},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journal={Information Systems Research},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volume={17},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number={4},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pages={392--414},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year={2006},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publisher={INFORMS}</w:t>
            </w:r>
          </w:p>
          <w:p w:rsid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E40EAA" w:rsidRPr="00E40EAA" w:rsidRDefault="00E40EAA" w:rsidP="00E40EA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B54" w:rsidRPr="00C662BC" w:rsidTr="007C6DE2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/>
            <w:shd w:val="clear" w:color="auto" w:fill="FFFFFF" w:themeFill="background1"/>
          </w:tcPr>
          <w:p w:rsidR="008C7B54" w:rsidRPr="003417B5" w:rsidRDefault="008C7B54" w:rsidP="00EB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4" w:type="dxa"/>
            <w:shd w:val="clear" w:color="auto" w:fill="FFFFFF" w:themeFill="background1"/>
          </w:tcPr>
          <w:p w:rsidR="008C7B54" w:rsidRPr="00C662BC" w:rsidRDefault="008C7B54" w:rsidP="00EB5CA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 xml:space="preserve">The tacit nature of feedback comments can convey the notion that a seller has previously acted in an </w:t>
            </w:r>
            <w:r>
              <w:rPr>
                <w:i/>
                <w:iCs/>
                <w:sz w:val="23"/>
                <w:szCs w:val="23"/>
              </w:rPr>
              <w:t xml:space="preserve">outstanding </w:t>
            </w:r>
            <w:r>
              <w:rPr>
                <w:sz w:val="23"/>
                <w:szCs w:val="23"/>
              </w:rPr>
              <w:t xml:space="preserve">fashion to pursue a buyer’s best interests, or acted in an </w:t>
            </w:r>
            <w:r>
              <w:rPr>
                <w:i/>
                <w:iCs/>
                <w:sz w:val="23"/>
                <w:szCs w:val="23"/>
              </w:rPr>
              <w:t xml:space="preserve">abysmal </w:t>
            </w:r>
            <w:r>
              <w:rPr>
                <w:sz w:val="23"/>
                <w:szCs w:val="23"/>
              </w:rPr>
              <w:t>manner to exploit a buyer’s vulnerabilities.</w:t>
            </w:r>
          </w:p>
        </w:tc>
        <w:tc>
          <w:tcPr>
            <w:tcW w:w="4436" w:type="dxa"/>
            <w:shd w:val="clear" w:color="auto" w:fill="FFFFFF" w:themeFill="background1"/>
          </w:tcPr>
          <w:p w:rsidR="008C7B54" w:rsidRDefault="008C7B54" w:rsidP="008C7B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Trade-off between costs of text feedback and the provided info</w:t>
            </w:r>
          </w:p>
          <w:p w:rsidR="008C7B54" w:rsidRDefault="008C7B54" w:rsidP="008C7B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Ratings vs Text feedback</w:t>
            </w:r>
          </w:p>
          <w:p w:rsidR="008C7B54" w:rsidRDefault="008C7B54" w:rsidP="008C7B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Impact of text on trust/credibility</w:t>
            </w:r>
          </w:p>
          <w:p w:rsidR="008C7B54" w:rsidRDefault="008C7B54" w:rsidP="008C7B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Concept of trust</w:t>
            </w:r>
          </w:p>
          <w:p w:rsidR="008C7B54" w:rsidRPr="008C7B54" w:rsidRDefault="008C7B54" w:rsidP="008C7B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example for testing algorithm!</w:t>
            </w:r>
          </w:p>
        </w:tc>
        <w:tc>
          <w:tcPr>
            <w:tcW w:w="3829" w:type="dxa"/>
            <w:gridSpan w:val="2"/>
            <w:vMerge/>
            <w:shd w:val="clear" w:color="auto" w:fill="FFFFFF" w:themeFill="background1"/>
          </w:tcPr>
          <w:p w:rsidR="008C7B54" w:rsidRPr="00C662BC" w:rsidRDefault="008C7B54" w:rsidP="00EB5CA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C7B54" w:rsidRPr="00C662BC" w:rsidTr="007C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/>
            <w:shd w:val="clear" w:color="auto" w:fill="FFFFFF" w:themeFill="background1"/>
          </w:tcPr>
          <w:p w:rsidR="008C7B54" w:rsidRPr="003417B5" w:rsidRDefault="008C7B54" w:rsidP="00EB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4" w:type="dxa"/>
            <w:shd w:val="clear" w:color="auto" w:fill="FFFFFF" w:themeFill="background1"/>
          </w:tcPr>
          <w:p w:rsidR="008C7B54" w:rsidRPr="00C662BC" w:rsidRDefault="008C7B54" w:rsidP="00EB5CA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 xml:space="preserve">Most important, a distinct survey item asked the respondents to indicate how many feedback comments they examined for the seller they purchased from. 81% reported examining 25 comments (one webpage), 5% viewed 50 comments, </w:t>
            </w:r>
            <w:proofErr w:type="gramStart"/>
            <w:r>
              <w:rPr>
                <w:sz w:val="23"/>
                <w:szCs w:val="23"/>
              </w:rPr>
              <w:t>11</w:t>
            </w:r>
            <w:proofErr w:type="gramEnd"/>
            <w:r>
              <w:rPr>
                <w:sz w:val="23"/>
                <w:szCs w:val="23"/>
              </w:rPr>
              <w:t>% more than 50 ones, and only 3% did not examine any text comments. This suggests that the evaluation of the first 25 comments in a seller’s feedback profile is likely to provide representative information about each seller that is typically examined by buyers.</w:t>
            </w:r>
          </w:p>
        </w:tc>
        <w:tc>
          <w:tcPr>
            <w:tcW w:w="4436" w:type="dxa"/>
            <w:shd w:val="clear" w:color="auto" w:fill="FFFFFF" w:themeFill="background1"/>
          </w:tcPr>
          <w:p w:rsidR="00AD3994" w:rsidRPr="00AD3994" w:rsidRDefault="00AD3994" w:rsidP="00AD399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</w:rPr>
            </w:pPr>
            <w:r w:rsidRPr="00AD3994">
              <w:rPr>
                <w:rFonts w:ascii="CMR10" w:hAnsi="CMR10" w:cs="CMR10"/>
              </w:rPr>
              <w:t>Numerical ratings and text comments are not mutually exclusive, but complement each other to offer information to help differentiation</w:t>
            </w:r>
          </w:p>
          <w:p w:rsidR="00AD3994" w:rsidRPr="00AD3994" w:rsidRDefault="00AD3994" w:rsidP="00AD399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</w:rPr>
            </w:pPr>
            <w:r w:rsidRPr="00AD3994">
              <w:rPr>
                <w:rFonts w:ascii="CMR10" w:hAnsi="CMR10" w:cs="CMR10"/>
              </w:rPr>
              <w:t>•both have advantages and disadvantages</w:t>
            </w:r>
          </w:p>
          <w:p w:rsidR="008C7B54" w:rsidRPr="00C662BC" w:rsidRDefault="00AD3994" w:rsidP="00AD399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</w:rPr>
            </w:pPr>
            <w:r w:rsidRPr="00AD3994">
              <w:rPr>
                <w:rFonts w:ascii="CMR10" w:hAnsi="CMR10" w:cs="CMR10"/>
              </w:rPr>
              <w:t>•both valuable</w:t>
            </w:r>
          </w:p>
        </w:tc>
        <w:tc>
          <w:tcPr>
            <w:tcW w:w="3829" w:type="dxa"/>
            <w:gridSpan w:val="2"/>
            <w:vMerge/>
            <w:shd w:val="clear" w:color="auto" w:fill="FFFFFF" w:themeFill="background1"/>
          </w:tcPr>
          <w:p w:rsidR="008C7B54" w:rsidRPr="00C662BC" w:rsidRDefault="008C7B54" w:rsidP="00D12BC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D12BCB" w:rsidRPr="00B10ABF" w:rsidTr="00D12BCB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5" w:type="dxa"/>
            <w:gridSpan w:val="5"/>
            <w:shd w:val="clear" w:color="auto" w:fill="000000" w:themeFill="text1"/>
          </w:tcPr>
          <w:p w:rsidR="004B2D8A" w:rsidRPr="004B2D8A" w:rsidRDefault="004B2D8A" w:rsidP="004B2D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D8A">
              <w:rPr>
                <w:rFonts w:ascii="Times New Roman" w:eastAsia="Times New Roman" w:hAnsi="Times New Roman" w:cs="Times New Roman"/>
                <w:sz w:val="24"/>
                <w:szCs w:val="24"/>
              </w:rPr>
              <w:t>Yaakub</w:t>
            </w:r>
            <w:proofErr w:type="spellEnd"/>
            <w:r w:rsidRPr="004B2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R., Li, Y., </w:t>
            </w:r>
            <w:proofErr w:type="spellStart"/>
            <w:r w:rsidRPr="004B2D8A">
              <w:rPr>
                <w:rFonts w:ascii="Times New Roman" w:eastAsia="Times New Roman" w:hAnsi="Times New Roman" w:cs="Times New Roman"/>
                <w:sz w:val="24"/>
                <w:szCs w:val="24"/>
              </w:rPr>
              <w:t>Algarni</w:t>
            </w:r>
            <w:proofErr w:type="spellEnd"/>
            <w:r w:rsidRPr="004B2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A., &amp; Peng, B. (2012, December). Integration of opinion into customer analysis model. In </w:t>
            </w:r>
            <w:r w:rsidRPr="004B2D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Proceedings of the </w:t>
            </w:r>
            <w:proofErr w:type="spellStart"/>
            <w:r w:rsidRPr="004B2D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4B2D8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2012 IEEE/WIC/ACM International Joint Conferences on Web Intelligence and Intelligent Agent Technology-Volume 03</w:t>
            </w:r>
            <w:r w:rsidRPr="004B2D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164-168). IEEE Computer Society.</w:t>
            </w:r>
          </w:p>
          <w:p w:rsidR="00D12BCB" w:rsidRPr="00B10ABF" w:rsidRDefault="00D12BCB" w:rsidP="00D12BCB">
            <w:pPr>
              <w:rPr>
                <w:rFonts w:ascii="Times New Roman" w:hAnsi="Times New Roman" w:cs="Times New Roman"/>
              </w:rPr>
            </w:pPr>
          </w:p>
        </w:tc>
      </w:tr>
      <w:tr w:rsidR="00AD3994" w:rsidRPr="0007048F" w:rsidTr="007C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 w:val="restart"/>
            <w:shd w:val="clear" w:color="auto" w:fill="FFFFFF" w:themeFill="background1"/>
          </w:tcPr>
          <w:p w:rsidR="00AD3994" w:rsidRDefault="00AD3994" w:rsidP="00B43E1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sz w:val="18"/>
                <w:szCs w:val="18"/>
              </w:rPr>
              <w:t>This paper proposes a new architecture for Opinion Mining, which is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a new</w:t>
            </w:r>
          </w:p>
          <w:p w:rsidR="00AD3994" w:rsidRDefault="00AD3994" w:rsidP="00B43E1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approach to integrate costumers opinion into a traditional</w:t>
            </w:r>
          </w:p>
          <w:p w:rsidR="00AD3994" w:rsidRPr="003417B5" w:rsidRDefault="00AD3994" w:rsidP="00AD39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CRM system. </w:t>
            </w:r>
          </w:p>
        </w:tc>
        <w:tc>
          <w:tcPr>
            <w:tcW w:w="4294" w:type="dxa"/>
            <w:shd w:val="clear" w:color="auto" w:fill="FFFFFF" w:themeFill="background1"/>
          </w:tcPr>
          <w:p w:rsidR="00AD3994" w:rsidRDefault="00AD3994" w:rsidP="00AD399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>80 percent of data in organization or company is unstructured data [4]. This shows that it is inaccurate to use only the structured data in doing customer analysis because it can only cover 20 percent of the entire data for an enterprise.</w:t>
            </w:r>
          </w:p>
          <w:p w:rsidR="00AD3994" w:rsidRPr="0007048F" w:rsidRDefault="00AD3994" w:rsidP="00AD399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F9AAD87" wp14:editId="7BFFFC44">
                  <wp:extent cx="2589530" cy="765544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61" cy="76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6" w:type="dxa"/>
            <w:shd w:val="clear" w:color="auto" w:fill="FFFFFF" w:themeFill="background1"/>
          </w:tcPr>
          <w:p w:rsidR="00AD3994" w:rsidRPr="0007048F" w:rsidRDefault="00AD3994" w:rsidP="00EB5CA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Focus Theory; Evaluation</w:t>
            </w:r>
          </w:p>
        </w:tc>
        <w:tc>
          <w:tcPr>
            <w:tcW w:w="3829" w:type="dxa"/>
            <w:gridSpan w:val="2"/>
            <w:vMerge w:val="restart"/>
            <w:shd w:val="clear" w:color="auto" w:fill="FFFFFF" w:themeFill="background1"/>
          </w:tcPr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inproceedings</w:t>
            </w:r>
            <w:proofErr w:type="spellEnd"/>
            <w:r>
              <w:t>{yaakub2012integration,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title={Integration of opinion into customer analysis model},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Yaakub</w:t>
            </w:r>
            <w:proofErr w:type="spellEnd"/>
            <w:r>
              <w:t xml:space="preserve">,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Ridzwan</w:t>
            </w:r>
            <w:proofErr w:type="spellEnd"/>
            <w:r>
              <w:t xml:space="preserve"> and Li, </w:t>
            </w:r>
            <w:proofErr w:type="spellStart"/>
            <w:r>
              <w:t>Yuefeng</w:t>
            </w:r>
            <w:proofErr w:type="spellEnd"/>
            <w:r>
              <w:t xml:space="preserve"> and </w:t>
            </w:r>
            <w:proofErr w:type="spellStart"/>
            <w:r>
              <w:t>Algarni</w:t>
            </w:r>
            <w:proofErr w:type="spellEnd"/>
            <w:r>
              <w:t xml:space="preserve">, </w:t>
            </w:r>
            <w:proofErr w:type="spellStart"/>
            <w:r>
              <w:t>Abdulmohsen</w:t>
            </w:r>
            <w:proofErr w:type="spellEnd"/>
            <w:r>
              <w:t xml:space="preserve"> and Peng, Bo},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booktitle</w:t>
            </w:r>
            <w:proofErr w:type="spellEnd"/>
            <w:r>
              <w:t xml:space="preserve">={Proceedings of the </w:t>
            </w:r>
            <w:proofErr w:type="spellStart"/>
            <w:r>
              <w:t>The</w:t>
            </w:r>
            <w:proofErr w:type="spellEnd"/>
            <w:r>
              <w:t xml:space="preserve"> 2012 IEEE/WIC/ACM International Joint Conferences on Web Intelligence and Intelligent Agent Technology-Volume 03},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pages={164--168},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year={2012},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organization={IEEE Computer Society}</w:t>
            </w:r>
          </w:p>
          <w:p w:rsidR="00AD3994" w:rsidRDefault="00AD3994" w:rsidP="004B2D8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AD3994" w:rsidRPr="0007048F" w:rsidRDefault="00AD3994" w:rsidP="00EB5CA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D3994" w:rsidRPr="0007048F" w:rsidTr="007C6DE2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/>
            <w:shd w:val="clear" w:color="auto" w:fill="FFFFFF" w:themeFill="background1"/>
          </w:tcPr>
          <w:p w:rsidR="00AD3994" w:rsidRPr="003417B5" w:rsidRDefault="00AD3994" w:rsidP="00EB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4" w:type="dxa"/>
            <w:shd w:val="clear" w:color="auto" w:fill="FFFFFF" w:themeFill="background1"/>
          </w:tcPr>
          <w:p w:rsidR="00AD3994" w:rsidRDefault="00AD3994" w:rsidP="00AD399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hAnsi="NimbusRomNo9L-Regu" w:cs="NimbusRomNo9L-Regu"/>
                <w:sz w:val="20"/>
                <w:szCs w:val="20"/>
              </w:rPr>
            </w:pP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For evaluation, all reviews has been read and evaluated by human beings. The effectiveness of the proposed technique is measured by using Precision </w:t>
            </w:r>
            <w:r>
              <w:rPr>
                <w:rFonts w:ascii="CMR10" w:hAnsi="CMR10" w:cs="CMR10"/>
                <w:sz w:val="20"/>
                <w:szCs w:val="20"/>
              </w:rPr>
              <w:t>(</w:t>
            </w:r>
            <w:r>
              <w:rPr>
                <w:rFonts w:ascii="CMMI10" w:hAnsi="CMMI10" w:cs="CMMI10"/>
                <w:sz w:val="20"/>
                <w:szCs w:val="20"/>
              </w:rPr>
              <w:t>p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, Recall</w:t>
            </w:r>
            <w:r>
              <w:rPr>
                <w:rFonts w:ascii="CMR10" w:hAnsi="CMR10" w:cs="CMR10"/>
                <w:sz w:val="20"/>
                <w:szCs w:val="20"/>
              </w:rPr>
              <w:t>(</w:t>
            </w:r>
            <w:r>
              <w:rPr>
                <w:rFonts w:ascii="CMMI10" w:hAnsi="CMMI10" w:cs="CMMI10"/>
                <w:sz w:val="20"/>
                <w:szCs w:val="20"/>
              </w:rPr>
              <w:t>r</w:t>
            </w:r>
            <w:r>
              <w:rPr>
                <w:rFonts w:ascii="CMR10" w:hAnsi="CMR10" w:cs="CMR10"/>
                <w:sz w:val="20"/>
                <w:szCs w:val="20"/>
              </w:rPr>
              <w:t xml:space="preserve">)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and accuracy. </w:t>
            </w:r>
          </w:p>
          <w:p w:rsidR="00AD3994" w:rsidRPr="00AD3994" w:rsidRDefault="00AD3994" w:rsidP="00AD399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0" w:hAnsi="CMR10" w:cs="CMR10"/>
                <w:b/>
                <w:sz w:val="20"/>
                <w:szCs w:val="20"/>
              </w:rPr>
            </w:pPr>
            <w:r w:rsidRPr="00AD3994">
              <w:rPr>
                <w:rFonts w:ascii="CMMI10" w:hAnsi="CMMI10" w:cs="CMMI10"/>
                <w:b/>
                <w:sz w:val="20"/>
                <w:szCs w:val="20"/>
              </w:rPr>
              <w:lastRenderedPageBreak/>
              <w:t xml:space="preserve">p 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>=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>TP/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>(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 xml:space="preserve">TP 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 xml:space="preserve">+ 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>FP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>)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 xml:space="preserve">; r 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>=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>TP/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>(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 xml:space="preserve">TP 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 xml:space="preserve">+ </w:t>
            </w:r>
            <w:r w:rsidRPr="00AD3994">
              <w:rPr>
                <w:rFonts w:ascii="CMMI10" w:hAnsi="CMMI10" w:cs="CMMI10"/>
                <w:b/>
                <w:sz w:val="20"/>
                <w:szCs w:val="20"/>
              </w:rPr>
              <w:t>FN</w:t>
            </w:r>
            <w:r w:rsidRPr="00AD3994">
              <w:rPr>
                <w:rFonts w:ascii="CMR10" w:hAnsi="CMR10" w:cs="CMR10"/>
                <w:b/>
                <w:sz w:val="20"/>
                <w:szCs w:val="20"/>
              </w:rPr>
              <w:t>)</w:t>
            </w:r>
          </w:p>
          <w:p w:rsidR="00AD3994" w:rsidRPr="0007048F" w:rsidRDefault="00AD3994" w:rsidP="00AD399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NimbusRomNo9L-Regu" w:hAnsi="NimbusRomNo9L-Regu" w:cs="NimbusRomNo9L-Regu"/>
                <w:sz w:val="20"/>
                <w:szCs w:val="20"/>
              </w:rPr>
              <w:t>where</w:t>
            </w:r>
            <w:proofErr w:type="gramEnd"/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 </w:t>
            </w:r>
            <w:r>
              <w:rPr>
                <w:rFonts w:ascii="CMMI10" w:hAnsi="CMMI10" w:cs="CMMI10"/>
                <w:sz w:val="20"/>
                <w:szCs w:val="20"/>
              </w:rPr>
              <w:t xml:space="preserve">TP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(true positives) is the number of reviews that the system correctly extract the right features and opinion; </w:t>
            </w:r>
            <w:r>
              <w:rPr>
                <w:rFonts w:ascii="CMMI10" w:hAnsi="CMMI10" w:cs="CMMI10"/>
                <w:sz w:val="20"/>
                <w:szCs w:val="20"/>
              </w:rPr>
              <w:t xml:space="preserve">FP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 xml:space="preserve">(false positives) is the number of reviews that the system falsely extract wrong features or wrong opinion; </w:t>
            </w:r>
            <w:r>
              <w:rPr>
                <w:rFonts w:ascii="CMMI10" w:hAnsi="CMMI10" w:cs="CMMI10"/>
                <w:sz w:val="20"/>
                <w:szCs w:val="20"/>
              </w:rPr>
              <w:t xml:space="preserve">FN </w:t>
            </w:r>
            <w:r>
              <w:rPr>
                <w:rFonts w:ascii="NimbusRomNo9L-Regu" w:hAnsi="NimbusRomNo9L-Regu" w:cs="NimbusRomNo9L-Regu"/>
                <w:sz w:val="20"/>
                <w:szCs w:val="20"/>
              </w:rPr>
              <w:t>(false negatives) is the number of reviews that the system fails to identify.</w:t>
            </w:r>
          </w:p>
        </w:tc>
        <w:tc>
          <w:tcPr>
            <w:tcW w:w="4436" w:type="dxa"/>
            <w:shd w:val="clear" w:color="auto" w:fill="FFFFFF" w:themeFill="background1"/>
          </w:tcPr>
          <w:p w:rsidR="00AD3994" w:rsidRPr="0007048F" w:rsidRDefault="00AD3994" w:rsidP="00EB5CA3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  <w:gridSpan w:val="2"/>
            <w:vMerge/>
            <w:shd w:val="clear" w:color="auto" w:fill="FFFFFF" w:themeFill="background1"/>
          </w:tcPr>
          <w:p w:rsidR="00AD3994" w:rsidRDefault="00AD3994" w:rsidP="004B2D8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5D27" w:rsidRPr="00B10ABF" w:rsidTr="009E4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5" w:type="dxa"/>
            <w:gridSpan w:val="5"/>
            <w:shd w:val="clear" w:color="auto" w:fill="000000" w:themeFill="text1"/>
          </w:tcPr>
          <w:p w:rsidR="00165D27" w:rsidRPr="00165D27" w:rsidRDefault="00165D27" w:rsidP="00165D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5D27">
              <w:rPr>
                <w:rFonts w:ascii="Times New Roman" w:eastAsia="Times New Roman" w:hAnsi="Times New Roman" w:cs="Times New Roman"/>
                <w:sz w:val="24"/>
                <w:szCs w:val="24"/>
              </w:rPr>
              <w:t>Dellarocas</w:t>
            </w:r>
            <w:proofErr w:type="spellEnd"/>
            <w:r w:rsidRPr="00165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C. (2003). The digitization of word of mouth: Promise and challenges of online feedback mechanisms. </w:t>
            </w:r>
            <w:r w:rsidRPr="00165D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Management science</w:t>
            </w:r>
            <w:r w:rsidRPr="00165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65D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49</w:t>
            </w:r>
            <w:r w:rsidRPr="00165D27">
              <w:rPr>
                <w:rFonts w:ascii="Times New Roman" w:eastAsia="Times New Roman" w:hAnsi="Times New Roman" w:cs="Times New Roman"/>
                <w:sz w:val="24"/>
                <w:szCs w:val="24"/>
              </w:rPr>
              <w:t>(10), 1407-1424.</w:t>
            </w:r>
          </w:p>
          <w:p w:rsidR="00165D27" w:rsidRPr="00B10ABF" w:rsidRDefault="00165D27" w:rsidP="00165D27">
            <w:pPr>
              <w:rPr>
                <w:rFonts w:ascii="Times New Roman" w:hAnsi="Times New Roman" w:cs="Times New Roman"/>
              </w:rPr>
            </w:pPr>
          </w:p>
        </w:tc>
      </w:tr>
      <w:tr w:rsidR="00165D27" w:rsidRPr="00B10ABF" w:rsidTr="009E4B61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 w:val="restart"/>
          </w:tcPr>
          <w:p w:rsidR="00165D27" w:rsidRPr="00B10ABF" w:rsidRDefault="00165D27" w:rsidP="00165D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provides an overview of relevant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in game theory and economics on the topic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putation.</w:t>
            </w:r>
          </w:p>
        </w:tc>
        <w:tc>
          <w:tcPr>
            <w:tcW w:w="4294" w:type="dxa"/>
          </w:tcPr>
          <w:p w:rsidR="00165D27" w:rsidRDefault="00165D27" w:rsidP="006E4E1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Examples of online feedback mechanisms How they work. Worth to taking a look. As march 2003, may need review</w:t>
            </w:r>
          </w:p>
          <w:p w:rsidR="00165D27" w:rsidRPr="00444651" w:rsidRDefault="00165D27" w:rsidP="006E4E1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+ importance of OFS</w:t>
            </w:r>
          </w:p>
        </w:tc>
        <w:tc>
          <w:tcPr>
            <w:tcW w:w="4540" w:type="dxa"/>
            <w:gridSpan w:val="2"/>
          </w:tcPr>
          <w:p w:rsidR="00165D27" w:rsidRPr="00B10ABF" w:rsidRDefault="00165D27" w:rsidP="009E4B61">
            <w:pPr>
              <w:ind w:right="9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</w:t>
            </w:r>
            <w:r w:rsidR="006E4E14">
              <w:rPr>
                <w:rFonts w:ascii="Times New Roman" w:hAnsi="Times New Roman" w:cs="Times New Roman"/>
              </w:rPr>
              <w:t>, Game theory, Personalization of feedback (feature based sentiment)</w:t>
            </w:r>
          </w:p>
        </w:tc>
        <w:tc>
          <w:tcPr>
            <w:tcW w:w="3725" w:type="dxa"/>
            <w:vMerge w:val="restart"/>
          </w:tcPr>
          <w:p w:rsidR="00165D27" w:rsidRPr="00165D27" w:rsidRDefault="00165D27" w:rsidP="00165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>@article{dellarocas2003digitization,</w:t>
            </w:r>
          </w:p>
          <w:p w:rsidR="00165D27" w:rsidRPr="00165D27" w:rsidRDefault="00165D27" w:rsidP="00165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title={The digitization of word of mouth: Promise and challenges of online feedback mechanisms},</w:t>
            </w:r>
          </w:p>
          <w:p w:rsidR="00165D27" w:rsidRPr="00165D27" w:rsidRDefault="00165D27" w:rsidP="00165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author={</w:t>
            </w:r>
            <w:proofErr w:type="spellStart"/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>Dellarocas</w:t>
            </w:r>
            <w:proofErr w:type="spellEnd"/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>Chrysanthos</w:t>
            </w:r>
            <w:proofErr w:type="spellEnd"/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>},</w:t>
            </w:r>
          </w:p>
          <w:p w:rsidR="00165D27" w:rsidRPr="00165D27" w:rsidRDefault="00165D27" w:rsidP="00165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journal={Management science},</w:t>
            </w:r>
          </w:p>
          <w:p w:rsidR="00165D27" w:rsidRPr="00165D27" w:rsidRDefault="00165D27" w:rsidP="00165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volume={49},</w:t>
            </w:r>
          </w:p>
          <w:p w:rsidR="00165D27" w:rsidRPr="00165D27" w:rsidRDefault="00165D27" w:rsidP="00165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number={10},</w:t>
            </w:r>
          </w:p>
          <w:p w:rsidR="00165D27" w:rsidRPr="00165D27" w:rsidRDefault="00165D27" w:rsidP="00165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pages={1407--1424},</w:t>
            </w:r>
          </w:p>
          <w:p w:rsidR="00165D27" w:rsidRPr="00165D27" w:rsidRDefault="00165D27" w:rsidP="00165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year={2003},</w:t>
            </w:r>
          </w:p>
          <w:p w:rsidR="00165D27" w:rsidRPr="00165D27" w:rsidRDefault="00165D27" w:rsidP="00165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publisher={INFORMS}</w:t>
            </w:r>
          </w:p>
          <w:p w:rsidR="00165D27" w:rsidRPr="00165D27" w:rsidRDefault="00165D27" w:rsidP="00165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5D2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165D27" w:rsidRPr="00B10ABF" w:rsidRDefault="00165D27" w:rsidP="009E4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E4E14" w:rsidRPr="00B10ABF" w:rsidTr="006E4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vMerge/>
          </w:tcPr>
          <w:p w:rsidR="006E4E14" w:rsidRDefault="006E4E14" w:rsidP="00165D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4" w:type="dxa"/>
          </w:tcPr>
          <w:p w:rsidR="006E4E14" w:rsidRDefault="006E4E14" w:rsidP="006E4E1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E14">
              <w:rPr>
                <w:rFonts w:ascii="Times New Roman" w:hAnsi="Times New Roman" w:cs="Times New Roman"/>
                <w:b/>
                <w:sz w:val="24"/>
                <w:szCs w:val="24"/>
              </w:rPr>
              <w:t>Nash equilibria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(Cripps,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Mailath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Samuelson,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2002)</w:t>
            </w:r>
          </w:p>
          <w:p w:rsidR="006E4E14" w:rsidRDefault="006E4E14" w:rsidP="006E4E1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the mathematical study of interaction of self- interested agents, game theory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the natural foundation for the study of online feedback mechanisms. Game theoretic analyses,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however, are often based on stylized abstractions of real systems and are fundamentally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grounded on the assumption of rational, utility maximizing economic agents.</w:t>
            </w:r>
          </w:p>
        </w:tc>
        <w:tc>
          <w:tcPr>
            <w:tcW w:w="4540" w:type="dxa"/>
            <w:gridSpan w:val="2"/>
          </w:tcPr>
          <w:p w:rsidR="006E4E14" w:rsidRDefault="006E4E14" w:rsidP="009E4B61">
            <w:pPr>
              <w:ind w:right="9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725" w:type="dxa"/>
            <w:vMerge/>
          </w:tcPr>
          <w:p w:rsidR="006E4E14" w:rsidRPr="00165D27" w:rsidRDefault="006E4E14" w:rsidP="00165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6E4E14" w:rsidRPr="00B10ABF" w:rsidTr="006E4E14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6E4E14" w:rsidRPr="00B10ABF" w:rsidRDefault="006E4E14" w:rsidP="009E4B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4" w:type="dxa"/>
          </w:tcPr>
          <w:p w:rsidR="006E4E14" w:rsidRDefault="006E4E14" w:rsidP="006E4E14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feedbac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mechanisms, in contrast, rely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private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monitoring of stage game outcomes and voluntary feedback submission.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introduces two important new considerations: (a) ensuring that sufficient feedback is, indeed,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provided, and (b) inducing truthful reporting.</w:t>
            </w:r>
          </w:p>
        </w:tc>
        <w:tc>
          <w:tcPr>
            <w:tcW w:w="4540" w:type="dxa"/>
            <w:gridSpan w:val="2"/>
          </w:tcPr>
          <w:p w:rsidR="006E4E14" w:rsidRPr="00B10ABF" w:rsidRDefault="006E4E14" w:rsidP="009E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725" w:type="dxa"/>
          </w:tcPr>
          <w:p w:rsidR="006E4E14" w:rsidRPr="00B10ABF" w:rsidRDefault="006E4E14" w:rsidP="009E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E4E14" w:rsidRPr="00B10ABF" w:rsidTr="009E4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6E4E14" w:rsidRPr="00B10ABF" w:rsidRDefault="006E4E14" w:rsidP="009E4B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4" w:type="dxa"/>
          </w:tcPr>
          <w:p w:rsidR="006E4E14" w:rsidRDefault="006E4E14" w:rsidP="006E4E1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can filter outlying or otherwise suspect ratings. They 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offer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personalized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feedback profiles, that is, present different information about the same long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different short-run players.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mechanism that simply publishes the entire 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feedback will not lead to sustainable truth-telling.</w:t>
            </w:r>
            <w:bookmarkStart w:id="0" w:name="_GoBack"/>
            <w:bookmarkEnd w:id="0"/>
          </w:p>
        </w:tc>
        <w:tc>
          <w:tcPr>
            <w:tcW w:w="4540" w:type="dxa"/>
            <w:gridSpan w:val="2"/>
          </w:tcPr>
          <w:p w:rsidR="006E4E14" w:rsidRPr="00B10ABF" w:rsidRDefault="006E4E14" w:rsidP="009E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725" w:type="dxa"/>
          </w:tcPr>
          <w:p w:rsidR="006E4E14" w:rsidRPr="00B10ABF" w:rsidRDefault="006E4E14" w:rsidP="009E4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65D27" w:rsidRPr="00B10ABF" w:rsidTr="009E4B61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5" w:type="dxa"/>
            <w:gridSpan w:val="5"/>
            <w:shd w:val="clear" w:color="auto" w:fill="000000" w:themeFill="text1"/>
          </w:tcPr>
          <w:p w:rsidR="00165D27" w:rsidRPr="00B10ABF" w:rsidRDefault="00165D27" w:rsidP="00165D27">
            <w:pPr>
              <w:rPr>
                <w:rFonts w:ascii="Times New Roman" w:hAnsi="Times New Roman" w:cs="Times New Roman"/>
              </w:rPr>
            </w:pPr>
          </w:p>
        </w:tc>
      </w:tr>
      <w:tr w:rsidR="00165D27" w:rsidRPr="00E40EAA" w:rsidTr="009E4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FFFFFF" w:themeFill="background1"/>
          </w:tcPr>
          <w:p w:rsidR="00165D27" w:rsidRPr="00C662BC" w:rsidRDefault="00165D27" w:rsidP="009E4B6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94" w:type="dxa"/>
            <w:shd w:val="clear" w:color="auto" w:fill="FFFFFF" w:themeFill="background1"/>
          </w:tcPr>
          <w:p w:rsidR="00165D27" w:rsidRPr="00C662BC" w:rsidRDefault="00165D27" w:rsidP="009E4B6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36" w:type="dxa"/>
            <w:shd w:val="clear" w:color="auto" w:fill="FFFFFF" w:themeFill="background1"/>
          </w:tcPr>
          <w:p w:rsidR="00165D27" w:rsidRPr="00C662BC" w:rsidRDefault="00165D27" w:rsidP="009E4B6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</w:rPr>
            </w:pPr>
          </w:p>
        </w:tc>
        <w:tc>
          <w:tcPr>
            <w:tcW w:w="3829" w:type="dxa"/>
            <w:gridSpan w:val="2"/>
            <w:shd w:val="clear" w:color="auto" w:fill="FFFFFF" w:themeFill="background1"/>
          </w:tcPr>
          <w:p w:rsidR="00165D27" w:rsidRPr="00E40EAA" w:rsidRDefault="00165D27" w:rsidP="00165D2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5D27" w:rsidRPr="00E40EAA" w:rsidTr="009E4B61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FFFFFF" w:themeFill="background1"/>
          </w:tcPr>
          <w:p w:rsidR="00165D27" w:rsidRPr="00C662BC" w:rsidRDefault="00165D27" w:rsidP="009E4B6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94" w:type="dxa"/>
            <w:shd w:val="clear" w:color="auto" w:fill="FFFFFF" w:themeFill="background1"/>
          </w:tcPr>
          <w:p w:rsidR="00165D27" w:rsidRPr="00C662BC" w:rsidRDefault="00165D27" w:rsidP="009E4B6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36" w:type="dxa"/>
            <w:shd w:val="clear" w:color="auto" w:fill="FFFFFF" w:themeFill="background1"/>
          </w:tcPr>
          <w:p w:rsidR="00165D27" w:rsidRPr="00C662BC" w:rsidRDefault="00165D27" w:rsidP="009E4B61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0" w:hAnsi="CMR10" w:cs="CMR10"/>
              </w:rPr>
            </w:pPr>
          </w:p>
        </w:tc>
        <w:tc>
          <w:tcPr>
            <w:tcW w:w="3829" w:type="dxa"/>
            <w:gridSpan w:val="2"/>
            <w:shd w:val="clear" w:color="auto" w:fill="FFFFFF" w:themeFill="background1"/>
          </w:tcPr>
          <w:p w:rsidR="00165D27" w:rsidRPr="00E40EAA" w:rsidRDefault="00165D27" w:rsidP="00165D2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56DD" w:rsidRDefault="00954336"/>
    <w:sectPr w:rsidR="001D56DD" w:rsidSect="00D12B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TT6120e2a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830C0E"/>
    <w:multiLevelType w:val="hybridMultilevel"/>
    <w:tmpl w:val="559A6CBE"/>
    <w:lvl w:ilvl="0" w:tplc="BF1AC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C635B"/>
    <w:multiLevelType w:val="hybridMultilevel"/>
    <w:tmpl w:val="44840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0A"/>
    <w:rsid w:val="00165D27"/>
    <w:rsid w:val="004B2D8A"/>
    <w:rsid w:val="0066160A"/>
    <w:rsid w:val="006E4E14"/>
    <w:rsid w:val="007C6DE2"/>
    <w:rsid w:val="00815B25"/>
    <w:rsid w:val="008C7B54"/>
    <w:rsid w:val="00954336"/>
    <w:rsid w:val="00AD3994"/>
    <w:rsid w:val="00B43E1B"/>
    <w:rsid w:val="00BA23F8"/>
    <w:rsid w:val="00D12BCB"/>
    <w:rsid w:val="00E4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BE540-0FD2-429B-AF21-6D022A16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D12B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D12B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6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D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Antigoni Kourou</dc:creator>
  <cp:keywords/>
  <dc:description/>
  <cp:lastModifiedBy>Antigoni Kourou</cp:lastModifiedBy>
  <cp:revision>5</cp:revision>
  <dcterms:created xsi:type="dcterms:W3CDTF">2016-04-07T18:38:00Z</dcterms:created>
  <dcterms:modified xsi:type="dcterms:W3CDTF">2016-04-08T13:10:00Z</dcterms:modified>
</cp:coreProperties>
</file>