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9BA1" w14:textId="69F66F6D" w:rsidR="00122741" w:rsidRDefault="00122741" w:rsidP="00122741">
      <w:pPr>
        <w:pStyle w:val="Heading1"/>
        <w:jc w:val="center"/>
      </w:pPr>
      <w:r>
        <w:t>Inpatient Amoxicillin Oral Drug Challenge – Information for Nursing</w:t>
      </w:r>
    </w:p>
    <w:p w14:paraId="40C52A75" w14:textId="66FAAB62" w:rsidR="00122741" w:rsidRDefault="00122741" w:rsidP="00122741"/>
    <w:p w14:paraId="5213AD10" w14:textId="129AE38A" w:rsidR="00170C46" w:rsidRPr="000D7823" w:rsidRDefault="00804BE0" w:rsidP="00122741">
      <w:r w:rsidRPr="000D7823">
        <w:t xml:space="preserve">Your patient has been identified as having a penicillin allergy. </w:t>
      </w:r>
      <w:r w:rsidR="000D7823" w:rsidRPr="000D7823">
        <w:t xml:space="preserve">While penicillin antibiotics are one of the most common medication allergies, nearly 90% of people who report a penicillin allergy do not have a true </w:t>
      </w:r>
      <w:proofErr w:type="spellStart"/>
      <w:r w:rsidR="000D7823" w:rsidRPr="000D7823">
        <w:t>IgE</w:t>
      </w:r>
      <w:proofErr w:type="spellEnd"/>
      <w:r w:rsidR="000D7823" w:rsidRPr="000D7823">
        <w:t xml:space="preserve"> mediated allergic reaction. This misconception results in using non-preferred antibiotics, leading to antimicrobial resistance and treatment failure.</w:t>
      </w:r>
      <w:r w:rsidR="000D7823">
        <w:t xml:space="preserve"> </w:t>
      </w:r>
      <w:r w:rsidRPr="000D7823">
        <w:t xml:space="preserve">The clinical pharmacy and medicine teams </w:t>
      </w:r>
      <w:r w:rsidR="00EE2381" w:rsidRPr="000D7823">
        <w:t xml:space="preserve">are making an effort to </w:t>
      </w:r>
      <w:r w:rsidR="0071207E" w:rsidRPr="000D7823">
        <w:t xml:space="preserve">remove the penicillin allergy label </w:t>
      </w:r>
      <w:r w:rsidR="00707E46" w:rsidRPr="000D7823">
        <w:t>from</w:t>
      </w:r>
      <w:r w:rsidR="001A56FF">
        <w:t xml:space="preserve"> your</w:t>
      </w:r>
      <w:r w:rsidR="00EE2381" w:rsidRPr="000D7823">
        <w:t xml:space="preserve"> </w:t>
      </w:r>
      <w:r w:rsidR="00707E46" w:rsidRPr="000D7823">
        <w:t>patient</w:t>
      </w:r>
      <w:r w:rsidR="0071207E" w:rsidRPr="000D7823">
        <w:t>’s chart.</w:t>
      </w:r>
      <w:r w:rsidR="00707E46" w:rsidRPr="000D7823">
        <w:t xml:space="preserve"> This will be done by performing a drug challenge</w:t>
      </w:r>
      <w:r w:rsidR="00A96435" w:rsidRPr="000D7823">
        <w:t>. Based on previous reaction history</w:t>
      </w:r>
      <w:r w:rsidR="0071207E" w:rsidRPr="000D7823">
        <w:t>,</w:t>
      </w:r>
      <w:r w:rsidR="00A96435" w:rsidRPr="000D7823">
        <w:t xml:space="preserve"> </w:t>
      </w:r>
      <w:r w:rsidR="001A56FF">
        <w:t>your</w:t>
      </w:r>
      <w:r w:rsidR="00A96435" w:rsidRPr="000D7823">
        <w:t xml:space="preserve"> patient is considered to be at</w:t>
      </w:r>
      <w:r w:rsidR="000B09D7" w:rsidRPr="000D7823">
        <w:t xml:space="preserve"> </w:t>
      </w:r>
      <w:r w:rsidR="00A96435" w:rsidRPr="000D7823">
        <w:t xml:space="preserve">low risk </w:t>
      </w:r>
      <w:r w:rsidR="00A136A3" w:rsidRPr="000D7823">
        <w:t>of reaction</w:t>
      </w:r>
      <w:r w:rsidR="00984CC8" w:rsidRPr="000D7823">
        <w:t xml:space="preserve"> and can undergo a drug challenge with amoxicillin to safely and effectively rule out a penicillin allergy. </w:t>
      </w:r>
      <w:r w:rsidR="005F48EB" w:rsidRPr="000D7823">
        <w:t xml:space="preserve">Please follow additional steps below for your role in </w:t>
      </w:r>
      <w:r w:rsidR="00656A8E" w:rsidRPr="000D7823">
        <w:t xml:space="preserve">the process. </w:t>
      </w:r>
    </w:p>
    <w:p w14:paraId="2FDA6716" w14:textId="77777777" w:rsidR="00122741" w:rsidRPr="00122741" w:rsidRDefault="00122741" w:rsidP="00122741">
      <w:pPr>
        <w:rPr>
          <w:u w:val="single"/>
        </w:rPr>
      </w:pPr>
      <w:r w:rsidRPr="00122741">
        <w:rPr>
          <w:u w:val="single"/>
        </w:rPr>
        <w:t>Process:</w:t>
      </w:r>
    </w:p>
    <w:p w14:paraId="3D4B13A3" w14:textId="4433D8A0" w:rsidR="00122741" w:rsidRPr="009F3BD2" w:rsidRDefault="00662190" w:rsidP="009F3BD2">
      <w:pPr>
        <w:pStyle w:val="ListParagraph"/>
        <w:numPr>
          <w:ilvl w:val="0"/>
          <w:numId w:val="4"/>
        </w:numPr>
      </w:pPr>
      <w:r w:rsidRPr="009F3BD2">
        <w:t xml:space="preserve">Communicate with the patient that </w:t>
      </w:r>
      <w:r w:rsidR="00B3317B" w:rsidRPr="009F3BD2">
        <w:t>the oral challenge for penicillin allergy</w:t>
      </w:r>
      <w:r w:rsidR="009F3BD2" w:rsidRPr="009F3BD2">
        <w:t xml:space="preserve"> testing</w:t>
      </w:r>
      <w:r w:rsidR="00B3317B" w:rsidRPr="009F3BD2">
        <w:t xml:space="preserve"> is starting. </w:t>
      </w:r>
      <w:r w:rsidR="00973464" w:rsidRPr="009F3BD2">
        <w:t xml:space="preserve">A </w:t>
      </w:r>
      <w:r w:rsidR="009F3BD2" w:rsidRPr="009F3BD2">
        <w:t>p</w:t>
      </w:r>
      <w:r w:rsidR="00973464" w:rsidRPr="009F3BD2">
        <w:t xml:space="preserve">harmacist has already </w:t>
      </w:r>
      <w:r w:rsidR="00617BAC" w:rsidRPr="009F3BD2">
        <w:t xml:space="preserve">educated patient on the process and patient provided consent. </w:t>
      </w:r>
    </w:p>
    <w:p w14:paraId="0F8F8AEE" w14:textId="77777777" w:rsidR="009F3BD2" w:rsidRPr="009F3BD2" w:rsidRDefault="009F3BD2" w:rsidP="009F3BD2">
      <w:pPr>
        <w:pStyle w:val="ListParagraph"/>
        <w:rPr>
          <w:color w:val="FF0000"/>
        </w:rPr>
      </w:pPr>
    </w:p>
    <w:p w14:paraId="652EAE5F" w14:textId="340A2AFB" w:rsidR="00122741" w:rsidRDefault="00122741" w:rsidP="00122741">
      <w:pPr>
        <w:pStyle w:val="ListParagraph"/>
        <w:numPr>
          <w:ilvl w:val="0"/>
          <w:numId w:val="4"/>
        </w:numPr>
      </w:pPr>
      <w:r>
        <w:t xml:space="preserve">Administer amoxicillin 500 mg </w:t>
      </w:r>
      <w:r w:rsidRPr="009F3BD2">
        <w:t>PO x 1</w:t>
      </w:r>
      <w:r w:rsidR="00E234A9" w:rsidRPr="009F3BD2">
        <w:t xml:space="preserve"> dose</w:t>
      </w:r>
      <w:r w:rsidRPr="009F3BD2">
        <w:t xml:space="preserve"> and </w:t>
      </w:r>
      <w:r>
        <w:t>document in BCMA as usual.</w:t>
      </w:r>
    </w:p>
    <w:p w14:paraId="17D86F33" w14:textId="77777777" w:rsidR="00122741" w:rsidRDefault="00122741" w:rsidP="00122741">
      <w:pPr>
        <w:pStyle w:val="ListParagraph"/>
      </w:pPr>
    </w:p>
    <w:p w14:paraId="00FBCEB9" w14:textId="77777777" w:rsidR="009F3BD2" w:rsidRDefault="00122741" w:rsidP="009F3BD2">
      <w:pPr>
        <w:pStyle w:val="ListParagraph"/>
        <w:numPr>
          <w:ilvl w:val="0"/>
          <w:numId w:val="4"/>
        </w:numPr>
      </w:pPr>
      <w:r>
        <w:t>Please be available (or have a counterpart available) in the unlikely event of an adverse reaction</w:t>
      </w:r>
      <w:r w:rsidR="009F3BD2">
        <w:t>.</w:t>
      </w:r>
    </w:p>
    <w:p w14:paraId="3DE57668" w14:textId="77777777" w:rsidR="009F3BD2" w:rsidRDefault="00617BAC" w:rsidP="009F3BD2">
      <w:pPr>
        <w:pStyle w:val="ListParagraph"/>
        <w:numPr>
          <w:ilvl w:val="0"/>
          <w:numId w:val="9"/>
        </w:numPr>
      </w:pPr>
      <w:r w:rsidRPr="009F3BD2">
        <w:t>O</w:t>
      </w:r>
      <w:r w:rsidR="00122741" w:rsidRPr="009F3BD2">
        <w:t>bserve patient every 30 minutes for</w:t>
      </w:r>
      <w:r w:rsidR="00A26A9C" w:rsidRPr="009F3BD2">
        <w:t xml:space="preserve"> 60 minutes</w:t>
      </w:r>
      <w:r w:rsidR="00122741" w:rsidRPr="009F3BD2">
        <w:t xml:space="preserve"> for immediate reactions</w:t>
      </w:r>
      <w:r w:rsidR="006C684A" w:rsidRPr="009F3BD2">
        <w:t>.</w:t>
      </w:r>
      <w:r w:rsidR="0045386F" w:rsidRPr="009F3BD2">
        <w:t xml:space="preserve"> </w:t>
      </w:r>
    </w:p>
    <w:p w14:paraId="702CCFBB" w14:textId="77777777" w:rsidR="009F3BD2" w:rsidRDefault="006C684A" w:rsidP="009F3BD2">
      <w:pPr>
        <w:pStyle w:val="ListParagraph"/>
        <w:numPr>
          <w:ilvl w:val="1"/>
          <w:numId w:val="7"/>
        </w:numPr>
      </w:pPr>
      <w:r w:rsidRPr="009F3BD2">
        <w:t xml:space="preserve">Immediate reactions may include itching, rash, hives/urticaria, shortness of breath, </w:t>
      </w:r>
      <w:r w:rsidR="00590082" w:rsidRPr="009F3BD2">
        <w:t xml:space="preserve"> </w:t>
      </w:r>
      <w:r w:rsidR="00C605CF" w:rsidRPr="009F3BD2">
        <w:t xml:space="preserve">angioedema or </w:t>
      </w:r>
      <w:r w:rsidRPr="009F3BD2">
        <w:t>anaphylaxis</w:t>
      </w:r>
      <w:r w:rsidR="00C605CF" w:rsidRPr="009F3BD2">
        <w:t>.</w:t>
      </w:r>
      <w:r w:rsidRPr="009F3BD2">
        <w:t xml:space="preserve"> </w:t>
      </w:r>
    </w:p>
    <w:p w14:paraId="1C74CDEA" w14:textId="2CDB327E" w:rsidR="00170C46" w:rsidRPr="009F3BD2" w:rsidRDefault="0045386F" w:rsidP="009F3BD2">
      <w:pPr>
        <w:pStyle w:val="ListParagraph"/>
        <w:numPr>
          <w:ilvl w:val="0"/>
          <w:numId w:val="7"/>
        </w:numPr>
      </w:pPr>
      <w:r w:rsidRPr="009F3BD2">
        <w:t xml:space="preserve"> </w:t>
      </w:r>
      <w:r w:rsidR="006C684A" w:rsidRPr="009F3BD2">
        <w:t>I</w:t>
      </w:r>
      <w:r w:rsidR="00F938E4" w:rsidRPr="009F3BD2">
        <w:t>t is</w:t>
      </w:r>
      <w:r w:rsidR="002D7D8B" w:rsidRPr="009F3BD2">
        <w:t xml:space="preserve"> not </w:t>
      </w:r>
      <w:r w:rsidR="00F938E4" w:rsidRPr="009F3BD2">
        <w:t>required that you</w:t>
      </w:r>
      <w:r w:rsidR="00122741" w:rsidRPr="009F3BD2">
        <w:t xml:space="preserve"> document vitals during this time. </w:t>
      </w:r>
    </w:p>
    <w:p w14:paraId="2D792B09" w14:textId="77777777" w:rsidR="00170C46" w:rsidRDefault="00170C46" w:rsidP="00170C46">
      <w:pPr>
        <w:pStyle w:val="ListParagraph"/>
      </w:pPr>
    </w:p>
    <w:p w14:paraId="45534109" w14:textId="74734B39" w:rsidR="00920FCB" w:rsidRDefault="00122741" w:rsidP="00F938E4">
      <w:pPr>
        <w:pStyle w:val="ListParagraph"/>
        <w:numPr>
          <w:ilvl w:val="0"/>
          <w:numId w:val="4"/>
        </w:numPr>
      </w:pPr>
      <w:r>
        <w:t>After 60 minutes, the testing period is complete.</w:t>
      </w:r>
      <w:r w:rsidR="00170C46">
        <w:t xml:space="preserve"> The pharmacist will </w:t>
      </w:r>
      <w:r w:rsidR="003345D8">
        <w:t xml:space="preserve">be available </w:t>
      </w:r>
      <w:r w:rsidR="00375C65">
        <w:t xml:space="preserve">for </w:t>
      </w:r>
      <w:r w:rsidR="003345D8">
        <w:t>follow-up with you and the patient.</w:t>
      </w:r>
    </w:p>
    <w:p w14:paraId="71121DBA" w14:textId="77777777" w:rsidR="00920FCB" w:rsidRDefault="00920FCB" w:rsidP="00170C46">
      <w:pPr>
        <w:pStyle w:val="ListParagraph"/>
      </w:pPr>
    </w:p>
    <w:p w14:paraId="3BD85E15" w14:textId="16360625" w:rsidR="00122741" w:rsidRDefault="00920FCB" w:rsidP="00122741">
      <w:pPr>
        <w:rPr>
          <w:u w:val="single"/>
        </w:rPr>
      </w:pPr>
      <w:r w:rsidRPr="22471C35">
        <w:rPr>
          <w:u w:val="single"/>
        </w:rPr>
        <w:t>In the rare event of an adverse reaction:</w:t>
      </w:r>
    </w:p>
    <w:p w14:paraId="048E397A" w14:textId="24700D04" w:rsidR="00920FCB" w:rsidRDefault="003A3B51" w:rsidP="00122741">
      <w:pPr>
        <w:pStyle w:val="ListParagraph"/>
        <w:numPr>
          <w:ilvl w:val="0"/>
          <w:numId w:val="5"/>
        </w:numPr>
      </w:pPr>
      <w:r>
        <w:t>Mild (r</w:t>
      </w:r>
      <w:r w:rsidR="00920FCB">
        <w:t>ash or itching</w:t>
      </w:r>
      <w:r>
        <w:t>)</w:t>
      </w:r>
      <w:r w:rsidR="00920FCB">
        <w:t>: Call primary team</w:t>
      </w:r>
    </w:p>
    <w:p w14:paraId="697348FE" w14:textId="5C74AC5D" w:rsidR="00315DC2" w:rsidRDefault="003A3B51" w:rsidP="00315DC2">
      <w:pPr>
        <w:pStyle w:val="ListParagraph"/>
        <w:numPr>
          <w:ilvl w:val="0"/>
          <w:numId w:val="5"/>
        </w:numPr>
      </w:pPr>
      <w:r>
        <w:t>Moderate/Severe (a</w:t>
      </w:r>
      <w:r w:rsidR="00B6604E">
        <w:t>naphylactic reaction or breathing or cardiovascular issues</w:t>
      </w:r>
      <w:r>
        <w:t>)</w:t>
      </w:r>
      <w:r w:rsidR="00920FCB">
        <w:t xml:space="preserve">: </w:t>
      </w:r>
      <w:r w:rsidR="00315DC2">
        <w:t>Initiate rapid response</w:t>
      </w:r>
    </w:p>
    <w:p w14:paraId="2F3B78EE" w14:textId="3C663132" w:rsidR="00795C5C" w:rsidRDefault="00315DC2" w:rsidP="00315DC2">
      <w:pPr>
        <w:jc w:val="center"/>
      </w:pPr>
      <w:r>
        <w:object w:dxaOrig="1539" w:dyaOrig="997" w14:anchorId="7BC49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pt;height:50.1pt" o:ole="">
            <v:imagedata r:id="rId9" o:title=""/>
          </v:shape>
          <o:OLEObject Type="Embed" ProgID="Acrobat.Document.DC" ShapeID="_x0000_i1029" DrawAspect="Icon" ObjectID="_1762948118" r:id="rId10"/>
        </w:object>
      </w:r>
    </w:p>
    <w:p w14:paraId="377A30C5" w14:textId="77777777" w:rsidR="00B25532" w:rsidRDefault="00B25532" w:rsidP="00315DC2">
      <w:pPr>
        <w:jc w:val="center"/>
      </w:pPr>
    </w:p>
    <w:p w14:paraId="0B568B81" w14:textId="595264CD" w:rsidR="001D6E90" w:rsidRDefault="00795C5C" w:rsidP="001D6E90">
      <w:pPr>
        <w:pStyle w:val="ListParagraph"/>
        <w:numPr>
          <w:ilvl w:val="0"/>
          <w:numId w:val="16"/>
        </w:numPr>
      </w:pPr>
      <w:r w:rsidRPr="00B25532">
        <w:rPr>
          <w:i/>
          <w:iCs/>
        </w:rPr>
        <w:t>Pharmacist will addend procedure note and ABLE note with any relevant information.</w:t>
      </w:r>
      <w:r w:rsidRPr="00B25532">
        <w:rPr>
          <w:i/>
          <w:iCs/>
        </w:rPr>
        <w:cr/>
      </w:r>
    </w:p>
    <w:p w14:paraId="2C428825" w14:textId="0F6DBDA0" w:rsidR="006C3AD6" w:rsidRDefault="006C3AD6" w:rsidP="001D6E90"/>
    <w:p w14:paraId="42018DF1" w14:textId="77777777" w:rsidR="006C3AD6" w:rsidRDefault="006C3AD6" w:rsidP="001D6E90"/>
    <w:p w14:paraId="57C68331" w14:textId="337C8354" w:rsidR="00001C01" w:rsidRPr="00001C01" w:rsidRDefault="005036E9" w:rsidP="00001C01">
      <w:pPr>
        <w:pStyle w:val="Heading1"/>
      </w:pPr>
      <w:r w:rsidRPr="005036E9">
        <w:rPr>
          <w:noProof/>
        </w:rPr>
        <w:lastRenderedPageBreak/>
        <w:t xml:space="preserve">Characteristics of </w:t>
      </w:r>
      <w:r w:rsidR="00870910">
        <w:rPr>
          <w:noProof/>
        </w:rPr>
        <w:t>Immediate (</w:t>
      </w:r>
      <w:r w:rsidRPr="005036E9">
        <w:rPr>
          <w:noProof/>
        </w:rPr>
        <w:t>IgE-</w:t>
      </w:r>
      <w:r w:rsidR="00870910">
        <w:rPr>
          <w:noProof/>
        </w:rPr>
        <w:t>m</w:t>
      </w:r>
      <w:r w:rsidRPr="005036E9">
        <w:rPr>
          <w:noProof/>
        </w:rPr>
        <w:t>ediated</w:t>
      </w:r>
      <w:r w:rsidR="00870910">
        <w:rPr>
          <w:noProof/>
        </w:rPr>
        <w:t>)</w:t>
      </w:r>
      <w:r w:rsidRPr="005036E9">
        <w:rPr>
          <w:noProof/>
        </w:rPr>
        <w:t xml:space="preserve"> </w:t>
      </w:r>
      <w:r w:rsidR="00870910">
        <w:rPr>
          <w:noProof/>
        </w:rPr>
        <w:t>R</w:t>
      </w:r>
      <w:r w:rsidRPr="005036E9">
        <w:rPr>
          <w:noProof/>
        </w:rPr>
        <w:t>eaction</w:t>
      </w:r>
      <w:r w:rsidR="00870910">
        <w:rPr>
          <w:noProof/>
        </w:rPr>
        <w:t>s</w:t>
      </w:r>
      <w:r w:rsidR="00DB42C1">
        <w:rPr>
          <w:noProof/>
        </w:rPr>
        <w:t>:</w:t>
      </w:r>
    </w:p>
    <w:p w14:paraId="508F73CF" w14:textId="77777777" w:rsidR="005036E9" w:rsidRDefault="005036E9" w:rsidP="005036E9">
      <w:pPr>
        <w:pStyle w:val="ListParagraph"/>
        <w:numPr>
          <w:ilvl w:val="0"/>
          <w:numId w:val="15"/>
        </w:numPr>
      </w:pPr>
      <w:r>
        <w:t>Reactions that occur immediately or usually within one hour</w:t>
      </w:r>
    </w:p>
    <w:p w14:paraId="681E6B00" w14:textId="77777777" w:rsidR="005036E9" w:rsidRDefault="005036E9" w:rsidP="005036E9">
      <w:pPr>
        <w:pStyle w:val="ListParagraph"/>
        <w:numPr>
          <w:ilvl w:val="0"/>
          <w:numId w:val="15"/>
        </w:numPr>
      </w:pPr>
      <w:r>
        <w:t>Hives: Multiple pink/red raised areas of skin that are intensely itchy</w:t>
      </w:r>
    </w:p>
    <w:p w14:paraId="7A7F5F8B" w14:textId="3AA89189" w:rsidR="005036E9" w:rsidRDefault="005036E9" w:rsidP="005036E9">
      <w:pPr>
        <w:pStyle w:val="ListParagraph"/>
        <w:numPr>
          <w:ilvl w:val="0"/>
          <w:numId w:val="15"/>
        </w:numPr>
      </w:pPr>
      <w:r>
        <w:t>Angioedema: Localized edema without hives affecting the abdomen, face, extremities, genitalia, oropharynx, or larynx</w:t>
      </w:r>
    </w:p>
    <w:p w14:paraId="2F238441" w14:textId="78CF1682" w:rsidR="005036E9" w:rsidRDefault="005036E9" w:rsidP="005036E9">
      <w:pPr>
        <w:pStyle w:val="ListParagraph"/>
        <w:numPr>
          <w:ilvl w:val="0"/>
          <w:numId w:val="15"/>
        </w:numPr>
      </w:pPr>
      <w:r>
        <w:t>Wheezing and shortness of breath</w:t>
      </w:r>
    </w:p>
    <w:p w14:paraId="678C906C" w14:textId="70D55F59" w:rsidR="00001C01" w:rsidRPr="00001C01" w:rsidRDefault="005036E9" w:rsidP="005036E9">
      <w:pPr>
        <w:pStyle w:val="ListParagraph"/>
        <w:numPr>
          <w:ilvl w:val="0"/>
          <w:numId w:val="15"/>
        </w:numPr>
      </w:pPr>
      <w:r>
        <w:t>Anaphylaxis</w:t>
      </w:r>
    </w:p>
    <w:p w14:paraId="0663A550" w14:textId="77777777" w:rsidR="006E1D51" w:rsidRDefault="006E1D51" w:rsidP="006E1D51">
      <w:pPr>
        <w:rPr>
          <w:noProof/>
        </w:rPr>
      </w:pPr>
    </w:p>
    <w:p w14:paraId="2A2D1A96" w14:textId="4AC6F7C5" w:rsidR="006C684A" w:rsidRPr="006E1D51" w:rsidRDefault="00001C01" w:rsidP="00001C01">
      <w:pPr>
        <w:pStyle w:val="Heading1"/>
        <w:jc w:val="both"/>
      </w:pPr>
      <w:r>
        <w:t>Risk Stratification</w:t>
      </w:r>
      <w:r w:rsidR="00DB42C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976"/>
        <w:gridCol w:w="2912"/>
        <w:gridCol w:w="2303"/>
      </w:tblGrid>
      <w:tr w:rsidR="00EC72AE" w14:paraId="080D0596" w14:textId="77777777" w:rsidTr="00B5141B">
        <w:tc>
          <w:tcPr>
            <w:tcW w:w="1159" w:type="dxa"/>
            <w:shd w:val="clear" w:color="auto" w:fill="80F8FE"/>
          </w:tcPr>
          <w:p w14:paraId="17775488" w14:textId="77777777" w:rsidR="00EC72AE" w:rsidRDefault="00EC72AE" w:rsidP="00EC72AE"/>
        </w:tc>
        <w:tc>
          <w:tcPr>
            <w:tcW w:w="2976" w:type="dxa"/>
            <w:shd w:val="clear" w:color="auto" w:fill="80F8FE"/>
          </w:tcPr>
          <w:p w14:paraId="57F297FB" w14:textId="56E127B1" w:rsidR="00EC72AE" w:rsidRPr="00EC72AE" w:rsidRDefault="00EC72AE" w:rsidP="00EC72AE">
            <w:pPr>
              <w:jc w:val="center"/>
              <w:rPr>
                <w:b/>
                <w:bCs/>
              </w:rPr>
            </w:pPr>
            <w:r w:rsidRPr="00EC72AE">
              <w:rPr>
                <w:b/>
                <w:bCs/>
              </w:rPr>
              <w:t>LOW RISK</w:t>
            </w:r>
          </w:p>
        </w:tc>
        <w:tc>
          <w:tcPr>
            <w:tcW w:w="2912" w:type="dxa"/>
            <w:shd w:val="clear" w:color="auto" w:fill="80F8FE"/>
          </w:tcPr>
          <w:p w14:paraId="10BD6954" w14:textId="37D2AA04" w:rsidR="00EC72AE" w:rsidRPr="00EC72AE" w:rsidRDefault="00EC72AE" w:rsidP="00EC72AE">
            <w:pPr>
              <w:jc w:val="center"/>
              <w:rPr>
                <w:b/>
                <w:bCs/>
              </w:rPr>
            </w:pPr>
            <w:r w:rsidRPr="00EC72AE">
              <w:rPr>
                <w:b/>
                <w:bCs/>
              </w:rPr>
              <w:t>INTERMEDIATE RISK</w:t>
            </w:r>
          </w:p>
        </w:tc>
        <w:tc>
          <w:tcPr>
            <w:tcW w:w="2303" w:type="dxa"/>
            <w:shd w:val="clear" w:color="auto" w:fill="80F8FE"/>
          </w:tcPr>
          <w:p w14:paraId="4D7E79A1" w14:textId="18C82506" w:rsidR="00EC72AE" w:rsidRPr="00EC72AE" w:rsidRDefault="00EC72AE" w:rsidP="00EC72AE">
            <w:pPr>
              <w:jc w:val="center"/>
              <w:rPr>
                <w:b/>
                <w:bCs/>
              </w:rPr>
            </w:pPr>
            <w:r w:rsidRPr="00EC72AE">
              <w:rPr>
                <w:b/>
                <w:bCs/>
              </w:rPr>
              <w:t>HIGH RISK</w:t>
            </w:r>
          </w:p>
        </w:tc>
      </w:tr>
      <w:tr w:rsidR="00EC72AE" w14:paraId="2B5FA8C4" w14:textId="77777777" w:rsidTr="00B5141B">
        <w:tc>
          <w:tcPr>
            <w:tcW w:w="1159" w:type="dxa"/>
          </w:tcPr>
          <w:p w14:paraId="769BF4C6" w14:textId="06369DA6" w:rsidR="00EC72AE" w:rsidRPr="00EC72AE" w:rsidRDefault="00EC72AE" w:rsidP="00EC72AE">
            <w:pPr>
              <w:rPr>
                <w:b/>
                <w:bCs/>
              </w:rPr>
            </w:pPr>
            <w:r w:rsidRPr="00EC72AE">
              <w:rPr>
                <w:b/>
                <w:bCs/>
              </w:rPr>
              <w:t>REACTION HISTORY</w:t>
            </w:r>
          </w:p>
        </w:tc>
        <w:tc>
          <w:tcPr>
            <w:tcW w:w="2976" w:type="dxa"/>
          </w:tcPr>
          <w:p w14:paraId="09020DCE" w14:textId="77777777" w:rsidR="00B5141B" w:rsidRDefault="00EC72AE" w:rsidP="00EC72AE">
            <w:pPr>
              <w:pStyle w:val="ListParagraph"/>
              <w:numPr>
                <w:ilvl w:val="0"/>
                <w:numId w:val="10"/>
              </w:numPr>
            </w:pPr>
            <w:r>
              <w:t>Mild reaction (e.g., maculopapular drug eruption, pruritis)</w:t>
            </w:r>
          </w:p>
          <w:p w14:paraId="72800753" w14:textId="77777777" w:rsidR="00B5141B" w:rsidRDefault="00EC72AE" w:rsidP="00EC72AE">
            <w:pPr>
              <w:pStyle w:val="ListParagraph"/>
              <w:numPr>
                <w:ilvl w:val="0"/>
                <w:numId w:val="10"/>
              </w:numPr>
            </w:pPr>
            <w:r>
              <w:t xml:space="preserve">Unknown reaction (≥ 10 years ago) without clinical features of </w:t>
            </w:r>
            <w:proofErr w:type="spellStart"/>
            <w:r>
              <w:t>IgE</w:t>
            </w:r>
            <w:proofErr w:type="spellEnd"/>
          </w:p>
          <w:p w14:paraId="580A535A" w14:textId="2E430C4C" w:rsidR="00EC72AE" w:rsidRDefault="00EC72AE" w:rsidP="00EC72AE">
            <w:pPr>
              <w:pStyle w:val="ListParagraph"/>
              <w:numPr>
                <w:ilvl w:val="0"/>
                <w:numId w:val="10"/>
              </w:numPr>
            </w:pPr>
            <w:r>
              <w:t>No cardiac or pulmonary</w:t>
            </w:r>
            <w:r w:rsidR="00B5141B">
              <w:t xml:space="preserve"> </w:t>
            </w:r>
            <w:r>
              <w:t>instability</w:t>
            </w:r>
          </w:p>
        </w:tc>
        <w:tc>
          <w:tcPr>
            <w:tcW w:w="2912" w:type="dxa"/>
          </w:tcPr>
          <w:p w14:paraId="48C728D1" w14:textId="77777777" w:rsidR="00B5141B" w:rsidRDefault="00B5141B" w:rsidP="00B5141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IgE</w:t>
            </w:r>
            <w:proofErr w:type="spellEnd"/>
            <w:r>
              <w:t>-mediated reaction, but not anaphylaxis*</w:t>
            </w:r>
          </w:p>
          <w:p w14:paraId="090A2655" w14:textId="77777777" w:rsidR="00B5141B" w:rsidRDefault="00B5141B" w:rsidP="00B5141B">
            <w:pPr>
              <w:pStyle w:val="ListParagraph"/>
              <w:numPr>
                <w:ilvl w:val="0"/>
                <w:numId w:val="10"/>
              </w:numPr>
            </w:pPr>
            <w:r>
              <w:t>Anaphylaxis* (&gt; 10 years ago)</w:t>
            </w:r>
          </w:p>
          <w:p w14:paraId="1F2C949D" w14:textId="17E7047A" w:rsidR="00EC72AE" w:rsidRDefault="00B5141B" w:rsidP="00B5141B">
            <w:pPr>
              <w:pStyle w:val="ListParagraph"/>
              <w:numPr>
                <w:ilvl w:val="0"/>
                <w:numId w:val="10"/>
              </w:numPr>
            </w:pPr>
            <w:r>
              <w:t>Low-risk reaction WITH cardiac or pulmonary instability</w:t>
            </w:r>
          </w:p>
        </w:tc>
        <w:tc>
          <w:tcPr>
            <w:tcW w:w="2303" w:type="dxa"/>
          </w:tcPr>
          <w:p w14:paraId="0C065277" w14:textId="77777777" w:rsidR="00B5141B" w:rsidRDefault="00B5141B" w:rsidP="00B5141B">
            <w:pPr>
              <w:pStyle w:val="ListParagraph"/>
              <w:numPr>
                <w:ilvl w:val="0"/>
                <w:numId w:val="10"/>
              </w:numPr>
            </w:pPr>
            <w:r>
              <w:t>Anaphylaxis* &lt; 10 years ago</w:t>
            </w:r>
          </w:p>
          <w:p w14:paraId="0C4E1A9D" w14:textId="54A28997" w:rsidR="00EC72AE" w:rsidRDefault="00B5141B" w:rsidP="00B5141B">
            <w:pPr>
              <w:pStyle w:val="ListParagraph"/>
              <w:numPr>
                <w:ilvl w:val="0"/>
                <w:numId w:val="10"/>
              </w:numPr>
            </w:pPr>
            <w:r>
              <w:t>Positive PCN skin test in the last five years</w:t>
            </w:r>
          </w:p>
        </w:tc>
      </w:tr>
      <w:tr w:rsidR="00EC72AE" w14:paraId="27AFCCF6" w14:textId="77777777" w:rsidTr="00B5141B">
        <w:tc>
          <w:tcPr>
            <w:tcW w:w="1159" w:type="dxa"/>
          </w:tcPr>
          <w:p w14:paraId="0FDA35BB" w14:textId="1602A7DF" w:rsidR="00EC72AE" w:rsidRPr="00EC72AE" w:rsidRDefault="00EC72AE" w:rsidP="00EC72AE">
            <w:pPr>
              <w:rPr>
                <w:b/>
                <w:bCs/>
              </w:rPr>
            </w:pPr>
            <w:r w:rsidRPr="00EC72AE">
              <w:rPr>
                <w:b/>
                <w:bCs/>
              </w:rPr>
              <w:t>TESTING</w:t>
            </w:r>
          </w:p>
        </w:tc>
        <w:tc>
          <w:tcPr>
            <w:tcW w:w="2976" w:type="dxa"/>
          </w:tcPr>
          <w:p w14:paraId="7FB96D13" w14:textId="77777777" w:rsidR="00B5141B" w:rsidRDefault="00B5141B" w:rsidP="00B5141B">
            <w:r>
              <w:t xml:space="preserve">Abbreviated PO amoxicillin </w:t>
            </w:r>
          </w:p>
          <w:p w14:paraId="4BCD5F7B" w14:textId="7A61F464" w:rsidR="00B5141B" w:rsidRDefault="00B5141B" w:rsidP="00B5141B">
            <w:r>
              <w:t>challenge (i.e., for inpatients or in the ED)</w:t>
            </w:r>
          </w:p>
          <w:p w14:paraId="20D4E1EE" w14:textId="169DE507" w:rsidR="00B5141B" w:rsidRDefault="00B5141B" w:rsidP="00B5141B">
            <w:r>
              <w:t xml:space="preserve">     (1) 500 mg x1</w:t>
            </w:r>
          </w:p>
          <w:p w14:paraId="414C0832" w14:textId="1075E9FA" w:rsidR="00EC72AE" w:rsidRDefault="00B5141B" w:rsidP="00B5141B">
            <w:r>
              <w:t xml:space="preserve">     (2) Monitor for 1 hour</w:t>
            </w:r>
          </w:p>
        </w:tc>
        <w:tc>
          <w:tcPr>
            <w:tcW w:w="2912" w:type="dxa"/>
            <w:shd w:val="clear" w:color="auto" w:fill="BFBFBF" w:themeFill="background1" w:themeFillShade="BF"/>
          </w:tcPr>
          <w:p w14:paraId="1CE34806" w14:textId="77777777" w:rsidR="00EC72AE" w:rsidRDefault="00EC72AE" w:rsidP="00EC72AE"/>
        </w:tc>
        <w:tc>
          <w:tcPr>
            <w:tcW w:w="2303" w:type="dxa"/>
            <w:shd w:val="clear" w:color="auto" w:fill="BFBFBF" w:themeFill="background1" w:themeFillShade="BF"/>
          </w:tcPr>
          <w:p w14:paraId="564ECA32" w14:textId="6431699C" w:rsidR="00EC72AE" w:rsidRDefault="00EC72AE" w:rsidP="00EC72AE"/>
        </w:tc>
      </w:tr>
      <w:tr w:rsidR="00EC72AE" w14:paraId="62621A42" w14:textId="77777777" w:rsidTr="00B5141B">
        <w:tc>
          <w:tcPr>
            <w:tcW w:w="1159" w:type="dxa"/>
          </w:tcPr>
          <w:p w14:paraId="1E56C951" w14:textId="3CA4D11F" w:rsidR="00EC72AE" w:rsidRPr="00EC72AE" w:rsidRDefault="00EC72AE" w:rsidP="00EC72AE">
            <w:pPr>
              <w:rPr>
                <w:b/>
                <w:bCs/>
              </w:rPr>
            </w:pPr>
            <w:r w:rsidRPr="00EC72AE">
              <w:rPr>
                <w:b/>
                <w:bCs/>
              </w:rPr>
              <w:t>RESULT</w:t>
            </w:r>
          </w:p>
        </w:tc>
        <w:tc>
          <w:tcPr>
            <w:tcW w:w="2976" w:type="dxa"/>
          </w:tcPr>
          <w:p w14:paraId="68C14D34" w14:textId="77777777" w:rsidR="00B5141B" w:rsidRPr="00B5141B" w:rsidRDefault="00B5141B" w:rsidP="00B5141B">
            <w:pPr>
              <w:pStyle w:val="ListParagraph"/>
              <w:numPr>
                <w:ilvl w:val="0"/>
                <w:numId w:val="11"/>
              </w:numPr>
            </w:pPr>
            <w:r>
              <w:t xml:space="preserve">Negative PO challenge: </w:t>
            </w:r>
            <w:r w:rsidRPr="00B5141B">
              <w:rPr>
                <w:i/>
                <w:iCs/>
              </w:rPr>
              <w:t>remove allergy</w:t>
            </w:r>
          </w:p>
          <w:p w14:paraId="0275FB00" w14:textId="7450847A" w:rsidR="00EC72AE" w:rsidRDefault="00B5141B" w:rsidP="00B5141B">
            <w:pPr>
              <w:pStyle w:val="ListParagraph"/>
              <w:numPr>
                <w:ilvl w:val="0"/>
                <w:numId w:val="11"/>
              </w:numPr>
            </w:pPr>
            <w:r>
              <w:t>Positive PO challenge: Use alternative agents</w:t>
            </w:r>
          </w:p>
        </w:tc>
        <w:tc>
          <w:tcPr>
            <w:tcW w:w="2912" w:type="dxa"/>
            <w:shd w:val="clear" w:color="auto" w:fill="BFBFBF" w:themeFill="background1" w:themeFillShade="BF"/>
          </w:tcPr>
          <w:p w14:paraId="032AE8EC" w14:textId="77777777" w:rsidR="00EC72AE" w:rsidRDefault="00EC72AE" w:rsidP="00EC72AE"/>
        </w:tc>
        <w:tc>
          <w:tcPr>
            <w:tcW w:w="2303" w:type="dxa"/>
            <w:shd w:val="clear" w:color="auto" w:fill="BFBFBF" w:themeFill="background1" w:themeFillShade="BF"/>
          </w:tcPr>
          <w:p w14:paraId="203668E0" w14:textId="77777777" w:rsidR="00EC72AE" w:rsidRDefault="00EC72AE" w:rsidP="00EC72AE"/>
        </w:tc>
      </w:tr>
    </w:tbl>
    <w:p w14:paraId="01A816D1" w14:textId="76CD26CA" w:rsidR="00EC72AE" w:rsidRDefault="00B5141B" w:rsidP="00B5141B">
      <w:pPr>
        <w:rPr>
          <w:i/>
          <w:iCs/>
        </w:rPr>
      </w:pPr>
      <w:r w:rsidRPr="00B5141B">
        <w:rPr>
          <w:i/>
          <w:iCs/>
        </w:rPr>
        <w:t>Adapted from VA ABLE Implementation Toolkit</w:t>
      </w:r>
    </w:p>
    <w:p w14:paraId="34D57AF5" w14:textId="32C1CF0E" w:rsidR="00001C01" w:rsidRDefault="00B5141B" w:rsidP="00B5141B">
      <w:r w:rsidRPr="00B5141B">
        <w:t>*Anaphylaxis is defined as a severe, potentially fatal, systemic allergic reaction involving at least 2 organ systems that occurs minutes to hours after contact with an allergy-causing substance</w:t>
      </w:r>
      <w:r>
        <w:t>.</w:t>
      </w:r>
    </w:p>
    <w:p w14:paraId="716BCA99" w14:textId="4F484DFC" w:rsidR="00001C01" w:rsidRDefault="00001C01" w:rsidP="00B5141B"/>
    <w:p w14:paraId="23E4A6DF" w14:textId="77777777" w:rsidR="00001C01" w:rsidRPr="00B5141B" w:rsidRDefault="00001C01" w:rsidP="00B5141B"/>
    <w:p w14:paraId="76B95EE1" w14:textId="38C434B1" w:rsidR="009073CA" w:rsidRDefault="009073CA" w:rsidP="006C684A"/>
    <w:sectPr w:rsid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74BA" w14:textId="77777777" w:rsidR="00EC72AE" w:rsidRDefault="00EC72AE" w:rsidP="00EC72AE">
      <w:pPr>
        <w:spacing w:after="0" w:line="240" w:lineRule="auto"/>
      </w:pPr>
      <w:r>
        <w:separator/>
      </w:r>
    </w:p>
  </w:endnote>
  <w:endnote w:type="continuationSeparator" w:id="0">
    <w:p w14:paraId="1817AC89" w14:textId="77777777" w:rsidR="00EC72AE" w:rsidRDefault="00EC72AE" w:rsidP="00EC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8446" w14:textId="77777777" w:rsidR="00EC72AE" w:rsidRDefault="00EC72AE" w:rsidP="00EC72AE">
      <w:pPr>
        <w:spacing w:after="0" w:line="240" w:lineRule="auto"/>
      </w:pPr>
      <w:r>
        <w:separator/>
      </w:r>
    </w:p>
  </w:footnote>
  <w:footnote w:type="continuationSeparator" w:id="0">
    <w:p w14:paraId="6558C063" w14:textId="77777777" w:rsidR="00EC72AE" w:rsidRDefault="00EC72AE" w:rsidP="00EC7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855"/>
    <w:multiLevelType w:val="hybridMultilevel"/>
    <w:tmpl w:val="446EB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01B51"/>
    <w:multiLevelType w:val="hybridMultilevel"/>
    <w:tmpl w:val="81DA1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1F96"/>
    <w:multiLevelType w:val="hybridMultilevel"/>
    <w:tmpl w:val="C0CA9F0A"/>
    <w:lvl w:ilvl="0" w:tplc="65E682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82E3F"/>
    <w:multiLevelType w:val="hybridMultilevel"/>
    <w:tmpl w:val="BB02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B44CF"/>
    <w:multiLevelType w:val="hybridMultilevel"/>
    <w:tmpl w:val="DA081A18"/>
    <w:lvl w:ilvl="0" w:tplc="1B2E24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4C32"/>
    <w:multiLevelType w:val="hybridMultilevel"/>
    <w:tmpl w:val="A10E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2343A"/>
    <w:multiLevelType w:val="hybridMultilevel"/>
    <w:tmpl w:val="8CC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A5D74"/>
    <w:multiLevelType w:val="hybridMultilevel"/>
    <w:tmpl w:val="2D0EB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FB3D5F"/>
    <w:multiLevelType w:val="hybridMultilevel"/>
    <w:tmpl w:val="A62A46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E07DEC"/>
    <w:multiLevelType w:val="hybridMultilevel"/>
    <w:tmpl w:val="4AA2A358"/>
    <w:lvl w:ilvl="0" w:tplc="65E6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72915"/>
    <w:multiLevelType w:val="hybridMultilevel"/>
    <w:tmpl w:val="8932B07E"/>
    <w:lvl w:ilvl="0" w:tplc="65E682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AE0449"/>
    <w:multiLevelType w:val="hybridMultilevel"/>
    <w:tmpl w:val="BCF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38B0"/>
    <w:multiLevelType w:val="hybridMultilevel"/>
    <w:tmpl w:val="636EF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62F4E"/>
    <w:multiLevelType w:val="hybridMultilevel"/>
    <w:tmpl w:val="0C6E1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405A9C"/>
    <w:multiLevelType w:val="hybridMultilevel"/>
    <w:tmpl w:val="CCFC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21678"/>
    <w:multiLevelType w:val="hybridMultilevel"/>
    <w:tmpl w:val="35B02E4C"/>
    <w:lvl w:ilvl="0" w:tplc="65E682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65E6824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1974829">
    <w:abstractNumId w:val="14"/>
  </w:num>
  <w:num w:numId="2" w16cid:durableId="275605279">
    <w:abstractNumId w:val="11"/>
  </w:num>
  <w:num w:numId="3" w16cid:durableId="92864559">
    <w:abstractNumId w:val="12"/>
  </w:num>
  <w:num w:numId="4" w16cid:durableId="631596824">
    <w:abstractNumId w:val="1"/>
  </w:num>
  <w:num w:numId="5" w16cid:durableId="2111926867">
    <w:abstractNumId w:val="2"/>
  </w:num>
  <w:num w:numId="6" w16cid:durableId="1929577011">
    <w:abstractNumId w:val="4"/>
  </w:num>
  <w:num w:numId="7" w16cid:durableId="708915275">
    <w:abstractNumId w:val="15"/>
  </w:num>
  <w:num w:numId="8" w16cid:durableId="320738603">
    <w:abstractNumId w:val="8"/>
  </w:num>
  <w:num w:numId="9" w16cid:durableId="1171136874">
    <w:abstractNumId w:val="10"/>
  </w:num>
  <w:num w:numId="10" w16cid:durableId="1883205980">
    <w:abstractNumId w:val="7"/>
  </w:num>
  <w:num w:numId="11" w16cid:durableId="50277074">
    <w:abstractNumId w:val="0"/>
  </w:num>
  <w:num w:numId="12" w16cid:durableId="1077019081">
    <w:abstractNumId w:val="6"/>
  </w:num>
  <w:num w:numId="13" w16cid:durableId="1470127293">
    <w:abstractNumId w:val="3"/>
  </w:num>
  <w:num w:numId="14" w16cid:durableId="17633544">
    <w:abstractNumId w:val="5"/>
  </w:num>
  <w:num w:numId="15" w16cid:durableId="251011258">
    <w:abstractNumId w:val="9"/>
  </w:num>
  <w:num w:numId="16" w16cid:durableId="63456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41"/>
    <w:rsid w:val="00001C01"/>
    <w:rsid w:val="00014C0F"/>
    <w:rsid w:val="000B09D7"/>
    <w:rsid w:val="000D7823"/>
    <w:rsid w:val="00122741"/>
    <w:rsid w:val="00135CBB"/>
    <w:rsid w:val="00170C46"/>
    <w:rsid w:val="00171CD2"/>
    <w:rsid w:val="00180247"/>
    <w:rsid w:val="001A56FF"/>
    <w:rsid w:val="001D6E90"/>
    <w:rsid w:val="002A69F0"/>
    <w:rsid w:val="002D7D8B"/>
    <w:rsid w:val="00315DC2"/>
    <w:rsid w:val="003345D8"/>
    <w:rsid w:val="00346DDB"/>
    <w:rsid w:val="00375C65"/>
    <w:rsid w:val="003A3B51"/>
    <w:rsid w:val="0045386F"/>
    <w:rsid w:val="005036E9"/>
    <w:rsid w:val="00505698"/>
    <w:rsid w:val="00590082"/>
    <w:rsid w:val="00597CD1"/>
    <w:rsid w:val="005B59FD"/>
    <w:rsid w:val="005F48EB"/>
    <w:rsid w:val="00617BAC"/>
    <w:rsid w:val="0063008C"/>
    <w:rsid w:val="00656A8E"/>
    <w:rsid w:val="00662190"/>
    <w:rsid w:val="006C3AD6"/>
    <w:rsid w:val="006C684A"/>
    <w:rsid w:val="006E1D51"/>
    <w:rsid w:val="00707E46"/>
    <w:rsid w:val="00711BE1"/>
    <w:rsid w:val="0071207E"/>
    <w:rsid w:val="00723F0B"/>
    <w:rsid w:val="00795C5C"/>
    <w:rsid w:val="00804BE0"/>
    <w:rsid w:val="00870910"/>
    <w:rsid w:val="008C3B26"/>
    <w:rsid w:val="009073CA"/>
    <w:rsid w:val="00916447"/>
    <w:rsid w:val="00920FCB"/>
    <w:rsid w:val="00973464"/>
    <w:rsid w:val="00984CC8"/>
    <w:rsid w:val="009F3BD2"/>
    <w:rsid w:val="00A05804"/>
    <w:rsid w:val="00A136A3"/>
    <w:rsid w:val="00A26A9C"/>
    <w:rsid w:val="00A3223C"/>
    <w:rsid w:val="00A540FD"/>
    <w:rsid w:val="00A96435"/>
    <w:rsid w:val="00B17778"/>
    <w:rsid w:val="00B25532"/>
    <w:rsid w:val="00B3317B"/>
    <w:rsid w:val="00B5141B"/>
    <w:rsid w:val="00B6604E"/>
    <w:rsid w:val="00B80AE1"/>
    <w:rsid w:val="00C11C6A"/>
    <w:rsid w:val="00C605CF"/>
    <w:rsid w:val="00DB42C1"/>
    <w:rsid w:val="00DC5A78"/>
    <w:rsid w:val="00E234A9"/>
    <w:rsid w:val="00E56B46"/>
    <w:rsid w:val="00EC72AE"/>
    <w:rsid w:val="00EE2381"/>
    <w:rsid w:val="00F61631"/>
    <w:rsid w:val="00F67D10"/>
    <w:rsid w:val="00F938E4"/>
    <w:rsid w:val="00FB69A1"/>
    <w:rsid w:val="224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6686AB"/>
  <w15:chartTrackingRefBased/>
  <w15:docId w15:val="{6B41EDD5-BC2D-4D23-A580-79DA9CB6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AE"/>
  </w:style>
  <w:style w:type="paragraph" w:styleId="Footer">
    <w:name w:val="footer"/>
    <w:basedOn w:val="Normal"/>
    <w:link w:val="FooterChar"/>
    <w:uiPriority w:val="99"/>
    <w:unhideWhenUsed/>
    <w:rsid w:val="00EC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AE"/>
  </w:style>
  <w:style w:type="table" w:styleId="TableGrid">
    <w:name w:val="Table Grid"/>
    <w:basedOn w:val="TableNormal"/>
    <w:uiPriority w:val="39"/>
    <w:rsid w:val="00EC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923D98F7D8F4CB507FBBF3D7555B1" ma:contentTypeVersion="3" ma:contentTypeDescription="Create a new document." ma:contentTypeScope="" ma:versionID="e90481d14e08aa986971a3fb92195c8d">
  <xsd:schema xmlns:xsd="http://www.w3.org/2001/XMLSchema" xmlns:xs="http://www.w3.org/2001/XMLSchema" xmlns:p="http://schemas.microsoft.com/office/2006/metadata/properties" xmlns:ns2="00c3255a-b021-4c6d-bda6-9a2920460998" targetNamespace="http://schemas.microsoft.com/office/2006/metadata/properties" ma:root="true" ma:fieldsID="c2310f133c0f654d8aecd3218531a724" ns2:_="">
    <xsd:import namespace="00c3255a-b021-4c6d-bda6-9a2920460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255a-b021-4c6d-bda6-9a2920460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FD834-7185-40F6-BAC3-0D479428F0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A4358-48F6-4DB6-9052-449DBA87A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255a-b021-4c6d-bda6-9a2920460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Aylward, Andrea N.</dc:creator>
  <cp:keywords/>
  <dc:description/>
  <cp:lastModifiedBy>Aylward, Andrea N.</cp:lastModifiedBy>
  <cp:revision>29</cp:revision>
  <dcterms:created xsi:type="dcterms:W3CDTF">2023-10-17T13:06:00Z</dcterms:created>
  <dcterms:modified xsi:type="dcterms:W3CDTF">2023-12-01T21:02:00Z</dcterms:modified>
</cp:coreProperties>
</file>