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3"/>
        <w:keepNext w:val="0"/>
        <w:keepLines w:val="0"/>
        <w:shd w:fill="ffffff" w:val="clear"/>
        <w:spacing w:after="0" w:before="0" w:line="288" w:lineRule="auto"/>
        <w:contextualSpacing w:val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q075j84b1ftq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VIVE Specs</w:t>
      </w:r>
    </w:p>
    <w:p w:rsidR="00000000" w:rsidDel="00000000" w:rsidP="00000000" w:rsidRDefault="00000000" w:rsidRPr="00000000" w14:paraId="00000001">
      <w:pPr>
        <w:keepNext w:val="0"/>
        <w:keepLines w:val="0"/>
        <w:spacing w:after="0" w:before="460" w:line="288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Headset Specs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5.0641907844556"/>
        <w:gridCol w:w="7170.447620239167"/>
        <w:tblGridChange w:id="0">
          <w:tblGrid>
            <w:gridCol w:w="1855.0641907844556"/>
            <w:gridCol w:w="7170.447620239167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460"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Screen: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460"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Dual AMOLED 3.6’’ diagonal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460"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Resolution: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before="460"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1080 x 1200 pixels per eye (2160 x 1200 pixels combined)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460"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Refresh rate: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before="460"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90 Hz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460"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Field of view: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460"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110 degrees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460"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Safety features: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460"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Chaperone play area boundaries and front-facing camera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460"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Sensors: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460"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SteamVR Tracking, G-sensor, gyroscope, proximity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460"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Connections: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460"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HDMI, USB 2.0, stereo 3.5 mm headphone jack, Power, Bluetooth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460"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460"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Integrated microphone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460"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Eye Relief: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460"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Interpupillary distance and lens distance adjustment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spacing w:after="0" w:before="0" w:line="288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spacing w:after="0" w:before="0" w:line="288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Controller specs</w:t>
      </w:r>
    </w:p>
    <w:p w:rsidR="00000000" w:rsidDel="00000000" w:rsidP="00000000" w:rsidRDefault="00000000" w:rsidRPr="00000000" w14:paraId="00000016">
      <w:pPr>
        <w:keepNext w:val="0"/>
        <w:keepLines w:val="0"/>
        <w:spacing w:after="0" w:before="0" w:line="288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5.0641907844556"/>
        <w:gridCol w:w="7170.447620239167"/>
        <w:tblGridChange w:id="0">
          <w:tblGrid>
            <w:gridCol w:w="1855.0641907844556"/>
            <w:gridCol w:w="7170.447620239167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Sensors: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SteamVR Tracking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Multifunction trackpad, Grip buttons, dual-stage trigger, System button, Menu button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Use per charge: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Approx. 6 hours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Connections: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Micro-USB charging port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spacing w:after="0" w:before="0" w:line="288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spacing w:after="0" w:before="0" w:line="288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Tracked area requirements</w:t>
      </w:r>
    </w:p>
    <w:p w:rsidR="00000000" w:rsidDel="00000000" w:rsidP="00000000" w:rsidRDefault="00000000" w:rsidRPr="00000000" w14:paraId="00000021">
      <w:pPr>
        <w:keepNext w:val="0"/>
        <w:keepLines w:val="0"/>
        <w:spacing w:after="0" w:before="0" w:line="288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5.0641907844556"/>
        <w:gridCol w:w="7170.447620239167"/>
        <w:tblGridChange w:id="0">
          <w:tblGrid>
            <w:gridCol w:w="1855.0641907844556"/>
            <w:gridCol w:w="7170.447620239167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Standing / seated: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No min. space requirements</w:t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jc w:val="center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c3c3c"/>
                <w:sz w:val="20"/>
                <w:szCs w:val="20"/>
                <w:rtl w:val="0"/>
              </w:rPr>
              <w:t xml:space="preserve">Room-scale: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contextualSpacing w:val="0"/>
              <w:rPr>
                <w:color w:val="3c3c3c"/>
                <w:sz w:val="20"/>
                <w:szCs w:val="20"/>
              </w:rPr>
            </w:pPr>
            <w:r w:rsidDel="00000000" w:rsidR="00000000" w:rsidRPr="00000000">
              <w:rPr>
                <w:color w:val="3c3c3c"/>
                <w:sz w:val="20"/>
                <w:szCs w:val="20"/>
                <w:rtl w:val="0"/>
              </w:rPr>
              <w:t xml:space="preserve">2 m x 1.5 m room size, 5 m max. between base stations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