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клиент-серверная архитектура.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Условные обозначения: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 - клиент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 - сервер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Ящик в шкафу - база данных.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Как это работает: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 собирается на работу и ему нужны носки,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он обращается к Н с запросом “белые парадные носки хочу”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 закатывает глаза и идет рыться в ящик выуживая оттуда пару “парадных” носков.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 делает бросок бейсболиста скрученной парой “парадных” носков в Д и все счастливы.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