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AD64A1">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AD64A1">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AD64A1">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AD64A1">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(10,77 миллиона</w:t>
      </w:r>
      <w:r w:rsidR="0096514E">
        <w:t xml:space="preserve"> человек</w:t>
      </w:r>
      <w:r w:rsidR="007C4247">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1D4F0D">
        <w:trPr>
          <w:trHeight w:val="283"/>
        </w:trPr>
        <w:tc>
          <w:tcPr>
            <w:tcW w:w="5904" w:type="dxa"/>
            <w:tcBorders>
              <w:top w:val="single" w:sz="4" w:space="0" w:color="000000"/>
              <w:left w:val="single" w:sz="4" w:space="0" w:color="000000"/>
              <w:bottom w:val="single" w:sz="4" w:space="0" w:color="auto"/>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57284D">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FFFFFF"/>
          </w:tcPr>
          <w:p w:rsidR="00E31B4D" w:rsidRPr="007C4247" w:rsidRDefault="0096514E" w:rsidP="007C4247">
            <w:pPr>
              <w:pStyle w:val="aff1"/>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7C4247" w:rsidTr="001D4F0D">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381A9F">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7C424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7C4247" w:rsidRPr="007C4247" w:rsidRDefault="007C4247" w:rsidP="007C4247">
            <w:pPr>
              <w:pStyle w:val="aff1"/>
            </w:pPr>
            <w:r w:rsidRPr="007C4247">
              <w:t>-</w:t>
            </w: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200D98" w:rsidRDefault="007C4247" w:rsidP="00200D98">
            <w:pPr>
              <w:pStyle w:val="aff1"/>
            </w:pPr>
          </w:p>
        </w:tc>
      </w:tr>
      <w:tr w:rsidR="007C4247" w:rsidTr="001D4F0D">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7A1A67">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7A1A67">
            <w:pPr>
              <w:pStyle w:val="aff1"/>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57284D">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7A1A67">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96514E"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57284D">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96514E" w:rsidRDefault="00500774" w:rsidP="00200D98">
            <w:pPr>
              <w:pStyle w:val="aff1"/>
            </w:pPr>
            <w:r>
              <w:rPr>
                <w:lang w:val="en-US"/>
              </w:rPr>
              <w:t>$</w:t>
            </w:r>
            <w:r w:rsidR="004D100E">
              <w:t>14.03</w:t>
            </w:r>
            <w:r w:rsidR="0096514E">
              <w:t xml:space="preserve"> 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00D98">
            <w:pPr>
              <w:pStyle w:val="aff1"/>
            </w:pPr>
          </w:p>
        </w:tc>
      </w:tr>
      <w:tr w:rsidR="00C273F4" w:rsidTr="001D4F0D">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00D98">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tcPr>
          <w:p w:rsidR="00C273F4" w:rsidRPr="00EC319E" w:rsidRDefault="00EC319E" w:rsidP="00200D98">
            <w:pPr>
              <w:pStyle w:val="aff1"/>
              <w:rPr>
                <w:lang w:val="en-US"/>
              </w:rPr>
            </w:pPr>
            <w:r>
              <w:rPr>
                <w:lang w:val="en-US"/>
              </w:rPr>
              <w:t>2.8</w:t>
            </w:r>
            <w:r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AA56E3" w:rsidTr="001D4F0D">
        <w:trPr>
          <w:trHeight w:val="113"/>
        </w:trPr>
        <w:tc>
          <w:tcPr>
            <w:tcW w:w="5904" w:type="dxa"/>
            <w:tcBorders>
              <w:top w:val="single" w:sz="4" w:space="0" w:color="000000"/>
              <w:left w:val="single" w:sz="4" w:space="0" w:color="000000"/>
            </w:tcBorders>
            <w:shd w:val="clear" w:color="auto" w:fill="auto"/>
          </w:tcPr>
          <w:p w:rsidR="00AA56E3" w:rsidRPr="00E65D34" w:rsidRDefault="00AA56E3" w:rsidP="009877E1">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00D98">
            <w:pPr>
              <w:pStyle w:val="aff1"/>
            </w:pPr>
            <w:r>
              <w:t>2017</w:t>
            </w:r>
          </w:p>
        </w:tc>
        <w:tc>
          <w:tcPr>
            <w:tcW w:w="2596" w:type="dxa"/>
            <w:tcBorders>
              <w:top w:val="single" w:sz="4" w:space="0" w:color="auto"/>
              <w:left w:val="single" w:sz="4" w:space="0" w:color="auto"/>
              <w:right w:val="single" w:sz="4" w:space="0" w:color="auto"/>
            </w:tcBorders>
            <w:shd w:val="clear" w:color="auto" w:fill="auto"/>
          </w:tcPr>
          <w:p w:rsidR="00AA56E3" w:rsidRPr="00200D98" w:rsidRDefault="00500774" w:rsidP="00200D98">
            <w:pPr>
              <w:pStyle w:val="aff1"/>
            </w:pPr>
            <w:r>
              <w:t>-</w:t>
            </w:r>
          </w:p>
        </w:tc>
        <w:tc>
          <w:tcPr>
            <w:tcW w:w="1232" w:type="dxa"/>
            <w:vMerge w:val="restart"/>
            <w:tcBorders>
              <w:top w:val="single" w:sz="4" w:space="0" w:color="000000"/>
              <w:left w:val="single" w:sz="4" w:space="0" w:color="auto"/>
              <w:right w:val="single" w:sz="4" w:space="0" w:color="000000"/>
            </w:tcBorders>
            <w:shd w:val="clear" w:color="auto" w:fill="auto"/>
          </w:tcPr>
          <w:p w:rsidR="00AA56E3" w:rsidRPr="00200D98" w:rsidRDefault="00AA56E3" w:rsidP="00200D98">
            <w:pPr>
              <w:pStyle w:val="aff1"/>
            </w:pPr>
          </w:p>
        </w:tc>
      </w:tr>
      <w:tr w:rsidR="00AA56E3" w:rsidTr="001D4F0D">
        <w:trPr>
          <w:trHeight w:val="112"/>
        </w:trPr>
        <w:tc>
          <w:tcPr>
            <w:tcW w:w="5904" w:type="dxa"/>
            <w:tcBorders>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2B6C1D">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3F7A0A"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200D98">
            <w:pPr>
              <w:pStyle w:val="aff1"/>
              <w:rPr>
                <w:lang w:val="en-US"/>
              </w:rPr>
            </w:pPr>
            <w:r>
              <w:rPr>
                <w:lang w:val="en-US"/>
              </w:rPr>
              <w:t>109.8%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200D98" w:rsidRDefault="003F7A0A" w:rsidP="00200D98">
            <w:pPr>
              <w:pStyle w:val="aff1"/>
            </w:pPr>
          </w:p>
        </w:tc>
      </w:tr>
      <w:tr w:rsidR="003F7A0A"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 xml:space="preserve">301 EUR </w:t>
            </w:r>
            <w:r w:rsidR="004A12AE">
              <w:t>млн.</w:t>
            </w:r>
            <w:bookmarkStart w:id="9" w:name="_GoBack"/>
            <w:bookmarkEnd w:id="9"/>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3F7A0A"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27.9 EUR</w:t>
            </w:r>
          </w:p>
          <w:p w:rsidR="003F7A0A" w:rsidRPr="00200D98" w:rsidRDefault="003F7A0A"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F96673" w:rsidP="00F96673">
            <w:pPr>
              <w:pStyle w:val="aff1"/>
              <w:rPr>
                <w:lang w:val="en-US"/>
              </w:rPr>
            </w:pPr>
            <w:r>
              <w:rPr>
                <w:lang w:val="en-US"/>
              </w:rPr>
              <w:t xml:space="preserve">$196.85 </w:t>
            </w:r>
            <w:proofErr w:type="spellStart"/>
            <w:r w:rsidR="003B312A" w:rsidRPr="003B312A">
              <w:rPr>
                <w:lang w:val="en-US"/>
              </w:rPr>
              <w:t>млрд</w:t>
            </w:r>
            <w:proofErr w:type="spellEnd"/>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F1407">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28080D" w:rsidRPr="00AE2829" w:rsidRDefault="0028080D" w:rsidP="00A80ECA">
      <w:pPr>
        <w:pStyle w:val="af4"/>
        <w:ind w:firstLine="0"/>
        <w:rPr>
          <w:lang w:val="en-US"/>
        </w:rPr>
      </w:pPr>
    </w:p>
    <w:p w:rsidR="00C14F19" w:rsidRPr="006652C1" w:rsidRDefault="006652C1" w:rsidP="00836745">
      <w:pPr>
        <w:pStyle w:val="a2"/>
      </w:pPr>
      <w:r w:rsidRPr="006652C1">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D6404">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F96673" w:rsidRDefault="00F96673" w:rsidP="00520CD7">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96673" w:rsidP="00520CD7">
            <w:pPr>
              <w:pStyle w:val="aff1"/>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9D6404" w:rsidTr="009D6404">
        <w:trPr>
          <w:trHeight w:val="60"/>
        </w:trPr>
        <w:tc>
          <w:tcPr>
            <w:tcW w:w="5904" w:type="dxa"/>
            <w:tcBorders>
              <w:top w:val="single" w:sz="4" w:space="0" w:color="000000"/>
              <w:left w:val="single" w:sz="4" w:space="0" w:color="000000"/>
            </w:tcBorders>
            <w:shd w:val="clear" w:color="auto" w:fill="auto"/>
          </w:tcPr>
          <w:p w:rsidR="009D6404" w:rsidRPr="00E65D34" w:rsidRDefault="009D6404"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tcBorders>
            <w:shd w:val="clear" w:color="auto" w:fill="auto"/>
          </w:tcPr>
          <w:p w:rsidR="009D6404" w:rsidRPr="00520CD7" w:rsidRDefault="009D6404"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left w:val="single" w:sz="4" w:space="0" w:color="000000"/>
              <w:bottom w:val="single" w:sz="4" w:space="0" w:color="000000"/>
            </w:tcBorders>
            <w:shd w:val="clear" w:color="auto" w:fill="auto"/>
          </w:tcPr>
          <w:p w:rsidR="009D6404" w:rsidRPr="00DE4D40" w:rsidRDefault="00F96673" w:rsidP="00520CD7">
            <w:pPr>
              <w:pStyle w:val="aff1"/>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9D6404">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DE4D40" w:rsidP="00520CD7">
            <w:pPr>
              <w:pStyle w:val="aff1"/>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520CD7">
            <w:pPr>
              <w:pStyle w:val="aff1"/>
            </w:pPr>
          </w:p>
        </w:tc>
      </w:tr>
      <w:tr w:rsidR="00A03362"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520CD7">
            <w:pPr>
              <w:pStyle w:val="aff1"/>
            </w:pPr>
            <w:r>
              <w:t>2017</w:t>
            </w: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DE4D40" w:rsidP="00DE4D40">
            <w:pPr>
              <w:pStyle w:val="aff1"/>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1D03EA" w:rsidTr="002B6C1D">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9877E1">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520CD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1D03EA" w:rsidRPr="00520CD7" w:rsidRDefault="001D03EA"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left w:val="single" w:sz="4" w:space="0" w:color="000000"/>
              <w:bottom w:val="single" w:sz="4" w:space="0" w:color="000000"/>
            </w:tcBorders>
            <w:shd w:val="clear" w:color="auto" w:fill="auto"/>
          </w:tcPr>
          <w:p w:rsidR="001D03EA" w:rsidRPr="00520CD7" w:rsidRDefault="001D03EA" w:rsidP="00547396">
            <w:pPr>
              <w:pStyle w:val="aff1"/>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2B6C1D">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DE4D40" w:rsidP="00547396">
            <w:pPr>
              <w:pStyle w:val="aff1"/>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3F7A0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520CD7">
            <w:pPr>
              <w:pStyle w:val="aff1"/>
              <w:rPr>
                <w:lang w:val="en-US"/>
              </w:rPr>
            </w:pPr>
            <w:r>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520CD7" w:rsidRDefault="003F7A0A" w:rsidP="00520CD7">
            <w:pPr>
              <w:pStyle w:val="aff1"/>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8759D6">
            <w:pPr>
              <w:pStyle w:val="aff1"/>
            </w:pPr>
            <w:r>
              <w:rPr>
                <w:lang w:val="en-US"/>
              </w:rPr>
              <w:t>$</w:t>
            </w:r>
            <w:r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8759D6">
            <w:pPr>
              <w:pStyle w:val="aff1"/>
              <w:rPr>
                <w:lang w:val="en-US"/>
              </w:rPr>
            </w:pPr>
            <w:r>
              <w:rPr>
                <w:lang w:val="en-US"/>
              </w:rPr>
              <w:t>$31.8</w:t>
            </w:r>
            <w:r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7B4318" w:rsidP="007B4318">
            <w:pPr>
              <w:pStyle w:val="aff1"/>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AA7EB2">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0505CB" w:rsidTr="00AA7EB2">
        <w:trPr>
          <w:trHeight w:val="60"/>
        </w:trPr>
        <w:tc>
          <w:tcPr>
            <w:tcW w:w="5904" w:type="dxa"/>
            <w:tcBorders>
              <w:top w:val="single" w:sz="4" w:space="0" w:color="000000"/>
              <w:left w:val="single" w:sz="4" w:space="0" w:color="000000"/>
            </w:tcBorders>
            <w:shd w:val="clear" w:color="auto" w:fill="auto"/>
          </w:tcPr>
          <w:p w:rsidR="000505CB" w:rsidRPr="00E65D34" w:rsidRDefault="000505CB"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tcBorders>
            <w:shd w:val="clear" w:color="auto" w:fill="auto"/>
          </w:tcPr>
          <w:p w:rsidR="000505CB" w:rsidRPr="001857A6" w:rsidRDefault="000505C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1857A6">
            <w:pPr>
              <w:pStyle w:val="aff1"/>
            </w:pPr>
          </w:p>
        </w:tc>
      </w:tr>
      <w:tr w:rsidR="00A03362" w:rsidTr="00DB1640">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52295F">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7B4318" w:rsidP="0052295F">
            <w:pPr>
              <w:pStyle w:val="aff1"/>
            </w:pPr>
            <w:r>
              <w:rPr>
                <w:lang w:val="en-US"/>
              </w:rPr>
              <w:t>$</w:t>
            </w:r>
            <w:r w:rsidR="0052295F">
              <w:t>1</w:t>
            </w:r>
            <w:proofErr w:type="gramStart"/>
            <w:r w:rsidR="0052295F">
              <w:t>,9</w:t>
            </w:r>
            <w:proofErr w:type="gramEnd"/>
            <w:r w:rsidR="0052295F">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DB1640" w:rsidTr="00DB1640">
        <w:trPr>
          <w:trHeight w:val="113"/>
        </w:trPr>
        <w:tc>
          <w:tcPr>
            <w:tcW w:w="5904" w:type="dxa"/>
            <w:tcBorders>
              <w:top w:val="single" w:sz="4" w:space="0" w:color="000000"/>
              <w:left w:val="single" w:sz="4" w:space="0" w:color="000000"/>
            </w:tcBorders>
            <w:shd w:val="clear" w:color="auto" w:fill="auto"/>
          </w:tcPr>
          <w:p w:rsidR="00DB1640" w:rsidRPr="00E65D34" w:rsidRDefault="00DB1640"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1857A6">
            <w:pPr>
              <w:pStyle w:val="aff1"/>
            </w:pPr>
          </w:p>
        </w:tc>
        <w:tc>
          <w:tcPr>
            <w:tcW w:w="2596" w:type="dxa"/>
            <w:tcBorders>
              <w:top w:val="single" w:sz="4" w:space="0" w:color="000000"/>
              <w:left w:val="single" w:sz="4" w:space="0" w:color="000000"/>
            </w:tcBorders>
            <w:shd w:val="clear" w:color="auto" w:fill="auto"/>
          </w:tcPr>
          <w:p w:rsidR="00DB1640" w:rsidRPr="001857A6" w:rsidRDefault="00DB1640"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1857A6">
            <w:pPr>
              <w:pStyle w:val="aff1"/>
            </w:pPr>
          </w:p>
        </w:tc>
      </w:tr>
      <w:tr w:rsidR="007B4318" w:rsidTr="00DB1640">
        <w:trPr>
          <w:trHeight w:val="112"/>
        </w:trPr>
        <w:tc>
          <w:tcPr>
            <w:tcW w:w="5904" w:type="dxa"/>
            <w:tcBorders>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left w:val="single" w:sz="4" w:space="0" w:color="000000"/>
              <w:bottom w:val="single" w:sz="4" w:space="0" w:color="000000"/>
            </w:tcBorders>
            <w:shd w:val="clear" w:color="auto" w:fill="auto"/>
          </w:tcPr>
          <w:p w:rsidR="007B4318" w:rsidRPr="001857A6" w:rsidRDefault="001B09DF" w:rsidP="001857A6">
            <w:pPr>
              <w:pStyle w:val="aff1"/>
            </w:pPr>
            <w:r>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3F7A0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6E52EE">
            <w:pPr>
              <w:pStyle w:val="aff1"/>
              <w:rPr>
                <w:lang w:val="en-US"/>
              </w:rPr>
            </w:pPr>
            <w:r>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1857A6" w:rsidRDefault="003F7A0A" w:rsidP="001857A6">
            <w:pPr>
              <w:pStyle w:val="aff1"/>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 xml:space="preserve">1854 ZAR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7B4318"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034612" w:rsidP="00034612">
            <w:pPr>
              <w:pStyle w:val="aff1"/>
            </w:pPr>
            <w:r>
              <w:rPr>
                <w:lang w:val="en-US"/>
              </w:rPr>
              <w:t>$</w:t>
            </w:r>
            <w:r w:rsidR="007B4318" w:rsidRPr="002C0D13">
              <w:t>204.73</w:t>
            </w:r>
            <w:r>
              <w:rPr>
                <w:lang w:val="en-US"/>
              </w:rPr>
              <w:t xml:space="preserve"> </w:t>
            </w:r>
            <w:r w:rsidR="007B4318" w:rsidRPr="002C0D13">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7B4318" w:rsidRPr="00175927"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7B4318" w:rsidRPr="00E41ECC" w:rsidRDefault="007B4318"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7B4318" w:rsidRPr="004B0B71"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r w:rsidR="00AF764B">
        <w:rPr>
          <w:lang w:val="uk-UA"/>
        </w:rPr>
        <w:t>(</w:t>
      </w:r>
      <w:r w:rsidR="00AF764B">
        <w:t>144,5 мил. чел.</w:t>
      </w:r>
      <w:r w:rsidR="00AF764B">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AF764B">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AF764B" w:rsidRDefault="00AF764B"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F764B" w:rsidP="001857A6">
            <w:pPr>
              <w:pStyle w:val="aff1"/>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F764B" w:rsidTr="00AF764B">
        <w:trPr>
          <w:trHeight w:val="60"/>
        </w:trPr>
        <w:tc>
          <w:tcPr>
            <w:tcW w:w="5904" w:type="dxa"/>
            <w:tcBorders>
              <w:top w:val="single" w:sz="4" w:space="0" w:color="000000"/>
              <w:left w:val="single" w:sz="4" w:space="0" w:color="000000"/>
            </w:tcBorders>
            <w:shd w:val="clear" w:color="auto" w:fill="auto"/>
          </w:tcPr>
          <w:p w:rsidR="00AF764B" w:rsidRPr="00AF764B" w:rsidRDefault="00AF764B" w:rsidP="009877E1">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1857A6">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AF764B" w:rsidRPr="001857A6" w:rsidRDefault="00AF764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199 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AF764B">
            <w:pPr>
              <w:pStyle w:val="aff1"/>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7E2290">
            <w:pPr>
              <w:pStyle w:val="aff1"/>
              <w:rPr>
                <w:lang w:val="uk-UA"/>
              </w:rPr>
            </w:pPr>
          </w:p>
        </w:tc>
      </w:tr>
      <w:tr w:rsidR="00025DE1" w:rsidTr="00AB43F2">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rPr>
                <w:lang w:val="en-US"/>
              </w:rPr>
              <w:t>2.36</w:t>
            </w:r>
            <w:r>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9A2024" w:rsidTr="00AB43F2">
        <w:trPr>
          <w:trHeight w:val="113"/>
        </w:trPr>
        <w:tc>
          <w:tcPr>
            <w:tcW w:w="5904" w:type="dxa"/>
            <w:tcBorders>
              <w:top w:val="single" w:sz="4" w:space="0" w:color="000000"/>
              <w:left w:val="single" w:sz="4" w:space="0" w:color="000000"/>
            </w:tcBorders>
            <w:shd w:val="clear" w:color="auto" w:fill="auto"/>
          </w:tcPr>
          <w:p w:rsidR="009A2024" w:rsidRPr="00AB43F2" w:rsidRDefault="009A2024" w:rsidP="009877E1">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tcBorders>
            <w:shd w:val="clear" w:color="auto" w:fill="auto"/>
          </w:tcPr>
          <w:p w:rsidR="009A2024" w:rsidRPr="001857A6" w:rsidRDefault="009A2024"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left w:val="single" w:sz="4" w:space="0" w:color="000000"/>
              <w:bottom w:val="single" w:sz="4" w:space="0" w:color="000000"/>
            </w:tcBorders>
            <w:shd w:val="clear" w:color="auto" w:fill="auto"/>
          </w:tcPr>
          <w:p w:rsidR="009A2024" w:rsidRPr="001857A6" w:rsidRDefault="009A2024" w:rsidP="009A2024">
            <w:pPr>
              <w:pStyle w:val="aff1"/>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3F7A0A" w:rsidTr="00996E8E">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3F7A0A" w:rsidRPr="001857A6" w:rsidRDefault="003F7A0A"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Default="003F7A0A" w:rsidP="007E2290">
            <w:pPr>
              <w:pStyle w:val="aff1"/>
              <w:rPr>
                <w:lang w:val="uk-UA"/>
              </w:rPr>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1857A6" w:rsidRDefault="003F7A0A" w:rsidP="006E52EE">
            <w:pPr>
              <w:pStyle w:val="aff1"/>
            </w:pPr>
            <w:r>
              <w:t>104.</w:t>
            </w:r>
            <w:r>
              <w:rPr>
                <w:lang w:val="en-US"/>
              </w:rPr>
              <w:t>73</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Default="003F7A0A" w:rsidP="007E2290">
            <w:pPr>
              <w:pStyle w:val="aff1"/>
              <w:rPr>
                <w:lang w:val="uk-UA"/>
              </w:rPr>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034612">
            <w:pPr>
              <w:pStyle w:val="aff1"/>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Default="003F7A0A" w:rsidP="007E2290">
            <w:pPr>
              <w:pStyle w:val="aff1"/>
              <w:rPr>
                <w:lang w:val="uk-UA"/>
              </w:rPr>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034612">
            <w:pPr>
              <w:pStyle w:val="aff1"/>
            </w:pPr>
            <w:r>
              <w:rPr>
                <w:lang w:val="en-US"/>
              </w:rPr>
              <w:t>$</w:t>
            </w:r>
            <w:r w:rsidRPr="001857A6">
              <w:t xml:space="preserve">9,65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Default="003F7A0A" w:rsidP="007E2290">
            <w:pPr>
              <w:pStyle w:val="aff1"/>
              <w:rPr>
                <w:lang w:val="uk-UA"/>
              </w:rPr>
            </w:pPr>
          </w:p>
        </w:tc>
      </w:tr>
      <w:tr w:rsidR="009A2024"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034612">
            <w:pPr>
              <w:pStyle w:val="aff1"/>
              <w:rPr>
                <w:lang w:val="uk-UA"/>
              </w:rPr>
            </w:pPr>
            <w:r>
              <w:rPr>
                <w:lang w:val="en-US"/>
              </w:rPr>
              <w:t>$</w:t>
            </w:r>
            <w:r w:rsidRPr="007552F2">
              <w:rPr>
                <w:lang w:val="uk-UA"/>
              </w:rPr>
              <w:t>709.22</w:t>
            </w:r>
            <w:r>
              <w:rPr>
                <w:lang w:val="en-US"/>
              </w:rPr>
              <w:t xml:space="preserve"> </w:t>
            </w:r>
            <w:r w:rsidRPr="007552F2">
              <w:rPr>
                <w:lang w:val="uk-UA"/>
              </w:rP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D269AE" w:rsidRDefault="009A2024"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9A2024" w:rsidRPr="000C0E90"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C537E8" w:rsidRDefault="009A2024"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9A2024" w:rsidRPr="00955ABD" w:rsidRDefault="00FD22E3" w:rsidP="007E2290">
            <w:pPr>
              <w:pStyle w:val="aff1"/>
              <w:rPr>
                <w:lang w:val="en-US"/>
              </w:rPr>
            </w:pPr>
            <w:r>
              <w:rPr>
                <w:lang w:val="en-US"/>
              </w:rPr>
              <w:t>39.23</w:t>
            </w:r>
            <w:r w:rsidR="00955ABD">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9A2024" w:rsidRPr="004B0B71"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C76A98" w:rsidRDefault="009A2024"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9A2024" w:rsidRPr="00381A9F" w:rsidRDefault="009A2024" w:rsidP="009877E1">
            <w:pPr>
              <w:pStyle w:val="a8"/>
              <w:jc w:val="left"/>
              <w:rPr>
                <w:lang w:val="en-US"/>
              </w:rPr>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r w:rsidR="00E27B44">
        <w:rPr>
          <w:lang w:val="uk-UA"/>
        </w:rPr>
        <w:t>(</w:t>
      </w:r>
      <w:r w:rsidR="00E27B44">
        <w:t>44,83 мил)</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AB43F2">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B43F2"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7B4C1E" w:rsidP="007B4C1E">
            <w:pPr>
              <w:pStyle w:val="aff1"/>
            </w:pPr>
            <w:r>
              <w:rPr>
                <w:lang w:val="en-US"/>
              </w:rPr>
              <w:t>$</w:t>
            </w:r>
            <w:r w:rsidR="00E5254E">
              <w:t>46.1</w:t>
            </w:r>
            <w:r>
              <w:rPr>
                <w:lang w:val="en-US"/>
              </w:rPr>
              <w:t xml:space="preserve">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AB43F2" w:rsidTr="007B4C1E">
        <w:trPr>
          <w:trHeight w:val="60"/>
        </w:trPr>
        <w:tc>
          <w:tcPr>
            <w:tcW w:w="5904" w:type="dxa"/>
            <w:tcBorders>
              <w:top w:val="single" w:sz="4" w:space="0" w:color="000000"/>
              <w:left w:val="single" w:sz="4" w:space="0" w:color="000000"/>
            </w:tcBorders>
            <w:shd w:val="clear" w:color="auto" w:fill="auto"/>
          </w:tcPr>
          <w:p w:rsidR="00AB43F2" w:rsidRPr="007B4C1E" w:rsidRDefault="00AB43F2" w:rsidP="009877E1">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7B4C1E" w:rsidRDefault="007B4C1E"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B43F2" w:rsidRDefault="00AB43F2" w:rsidP="007B4C1E">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AB43F2" w:rsidRDefault="007B4C1E" w:rsidP="00E5254E">
            <w:pPr>
              <w:pStyle w:val="aff1"/>
              <w:rPr>
                <w:lang w:val="uk-UA"/>
              </w:rPr>
            </w:pPr>
            <w:r>
              <w:rPr>
                <w:lang w:val="en-US"/>
              </w:rPr>
              <w:t>$</w:t>
            </w:r>
            <w:r w:rsidR="00E5254E">
              <w:t>11.4</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9.48</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4.67</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20.55</w:t>
            </w:r>
            <w:r>
              <w:rPr>
                <w:lang w:val="en-US"/>
              </w:rPr>
              <w:t xml:space="preserve">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Default="00AB43F2" w:rsidP="007E2290">
            <w:pPr>
              <w:pStyle w:val="aff1"/>
              <w:rPr>
                <w:lang w:val="uk-UA"/>
              </w:rPr>
            </w:pPr>
          </w:p>
        </w:tc>
      </w:tr>
      <w:tr w:rsidR="006E7DFA" w:rsidTr="00C0338E">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27B44" w:rsidRDefault="00025DE1" w:rsidP="00E27B44">
            <w:pPr>
              <w:pStyle w:val="aff1"/>
            </w:pPr>
            <w:r>
              <w:rPr>
                <w:lang w:val="en-US"/>
              </w:rPr>
              <w:t>201</w:t>
            </w:r>
            <w:r w:rsidR="00E27B44">
              <w:t>7</w:t>
            </w:r>
          </w:p>
        </w:tc>
        <w:tc>
          <w:tcPr>
            <w:tcW w:w="2596" w:type="dxa"/>
            <w:tcBorders>
              <w:top w:val="single" w:sz="4" w:space="0" w:color="000000"/>
              <w:left w:val="single" w:sz="4" w:space="0" w:color="000000"/>
              <w:bottom w:val="single" w:sz="4" w:space="0" w:color="000000"/>
            </w:tcBorders>
            <w:shd w:val="clear" w:color="auto" w:fill="auto"/>
          </w:tcPr>
          <w:p w:rsidR="006E7DFA" w:rsidRPr="00025DE1" w:rsidRDefault="00E27B44" w:rsidP="00E27B44">
            <w:pPr>
              <w:pStyle w:val="aff1"/>
              <w:rPr>
                <w:lang w:val="en-US"/>
              </w:rPr>
            </w:pPr>
            <w:r>
              <w:rPr>
                <w:lang w:val="en-US"/>
              </w:rPr>
              <w:t>$</w:t>
            </w:r>
            <w:r>
              <w:t>1.02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C0338E" w:rsidTr="008200E7">
        <w:trPr>
          <w:trHeight w:val="113"/>
        </w:trPr>
        <w:tc>
          <w:tcPr>
            <w:tcW w:w="5904" w:type="dxa"/>
            <w:tcBorders>
              <w:top w:val="single" w:sz="4" w:space="0" w:color="000000"/>
              <w:left w:val="single" w:sz="4" w:space="0" w:color="000000"/>
            </w:tcBorders>
            <w:shd w:val="clear" w:color="auto" w:fill="auto"/>
          </w:tcPr>
          <w:p w:rsidR="00C0338E" w:rsidRPr="00E65D34" w:rsidRDefault="00C0338E"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6C25CA" w:rsidRDefault="006C25CA"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C0338E" w:rsidRDefault="00C0338E" w:rsidP="008200E7">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Default="00C0338E" w:rsidP="007E2290">
            <w:pPr>
              <w:pStyle w:val="aff1"/>
              <w:rPr>
                <w:lang w:val="uk-UA"/>
              </w:rPr>
            </w:pPr>
          </w:p>
        </w:tc>
      </w:tr>
      <w:tr w:rsidR="008200E7" w:rsidTr="008200E7">
        <w:trPr>
          <w:trHeight w:val="112"/>
        </w:trPr>
        <w:tc>
          <w:tcPr>
            <w:tcW w:w="5904" w:type="dxa"/>
            <w:tcBorders>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w:t>
            </w:r>
            <w:r>
              <w:t>254</w:t>
            </w:r>
            <w:proofErr w:type="gramStart"/>
            <w:r>
              <w:t>,29</w:t>
            </w:r>
            <w:proofErr w:type="gramEnd"/>
            <w:r>
              <w:t xml:space="preserve">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 xml:space="preserve">$211.46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8200E7">
            <w:pPr>
              <w:pStyle w:val="aff1"/>
              <w:rPr>
                <w:lang w:val="uk-UA"/>
              </w:rPr>
            </w:pPr>
            <w:r>
              <w:rPr>
                <w:lang w:val="en-US"/>
              </w:rPr>
              <w:t xml:space="preserve">$104.17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3C7F47">
            <w:pPr>
              <w:pStyle w:val="aff1"/>
              <w:rPr>
                <w:lang w:val="uk-UA"/>
              </w:rPr>
            </w:pPr>
            <w:r>
              <w:rPr>
                <w:lang w:val="en-US"/>
              </w:rPr>
              <w:t xml:space="preserve">$458.39 </w:t>
            </w:r>
            <w:r w:rsidR="008200E7">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382E83" w:rsidRDefault="008200E7"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436EE9">
            <w:pPr>
              <w:pStyle w:val="aff1"/>
              <w:rPr>
                <w:lang w:val="uk-UA"/>
              </w:rPr>
            </w:pPr>
            <w:r w:rsidRPr="00382E83">
              <w:rPr>
                <w:lang w:val="uk-UA"/>
              </w:rPr>
              <w:t>17.</w:t>
            </w:r>
            <w:r>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67FE0" w:rsidRDefault="00B517BE" w:rsidP="00167FE0">
            <w:pPr>
              <w:pStyle w:val="aff1"/>
            </w:pPr>
            <w:r>
              <w:rPr>
                <w:lang w:val="en-US"/>
              </w:rPr>
              <w:t>$</w:t>
            </w:r>
            <w:r w:rsidR="008200E7" w:rsidRPr="00167FE0">
              <w:t xml:space="preserve">833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E7855" w:rsidRDefault="008200E7" w:rsidP="001E7855">
            <w:pPr>
              <w:pStyle w:val="aff1"/>
            </w:pPr>
            <w:r w:rsidRPr="001E7855">
              <w:t>19.8 USD</w:t>
            </w:r>
          </w:p>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167291">
            <w:pPr>
              <w:pStyle w:val="aff1"/>
              <w:rPr>
                <w:lang w:val="uk-UA"/>
              </w:rPr>
            </w:pPr>
          </w:p>
        </w:tc>
      </w:tr>
      <w:tr w:rsidR="008200E7"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167291">
            <w:pPr>
              <w:pStyle w:val="aff1"/>
              <w:rPr>
                <w:lang w:val="uk-UA"/>
              </w:rPr>
            </w:pPr>
          </w:p>
        </w:tc>
      </w:tr>
      <w:tr w:rsidR="008200E7"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8200E7" w:rsidRPr="002C0D13" w:rsidRDefault="008200E7"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8200E7" w:rsidRPr="00A26A36" w:rsidRDefault="008200E7"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167291">
            <w:pPr>
              <w:pStyle w:val="aff1"/>
              <w:rPr>
                <w:lang w:val="uk-UA"/>
              </w:rPr>
            </w:pPr>
          </w:p>
        </w:tc>
      </w:tr>
      <w:tr w:rsidR="008200E7"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767DFA" w:rsidRDefault="008200E7" w:rsidP="007E2290">
            <w:pPr>
              <w:pStyle w:val="aff1"/>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8200E7" w:rsidRPr="00D269AE"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8200E7" w:rsidRPr="0017424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765EB2" w:rsidRDefault="008200E7" w:rsidP="00765EB2">
            <w:pPr>
              <w:pStyle w:val="aff1"/>
            </w:pPr>
            <w:r w:rsidRPr="00765EB2">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Pr="00765EB2" w:rsidRDefault="008200E7" w:rsidP="00765EB2">
            <w:pPr>
              <w:pStyle w:val="aff1"/>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sidRPr="0025357E">
              <w:rPr>
                <w:lang w:val="en-US"/>
              </w:rPr>
              <w:t>−</w:t>
            </w: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8200E7" w:rsidRPr="00A91EEB"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D0248" w:rsidRDefault="008200E7"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767DFA">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Default="00420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tcPr>
          <w:p w:rsidR="008200E7" w:rsidRDefault="00767DFA" w:rsidP="007E2290">
            <w:pPr>
              <w:pStyle w:val="aff1"/>
              <w:rPr>
                <w:lang w:val="uk-UA"/>
              </w:rPr>
            </w:pPr>
            <w:r>
              <w:rPr>
                <w:lang w:val="uk-UA"/>
              </w:rPr>
              <w:t>1,65%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73"/>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8200E7" w:rsidRPr="00DE3A51"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67"/>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C85700">
        <w:trPr>
          <w:trHeight w:val="371"/>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2B6C1D" w:rsidRDefault="002B6C1D" w:rsidP="00AE48C4">
      <w:pPr>
        <w:pStyle w:val="af4"/>
        <w:ind w:left="1440" w:firstLine="0"/>
        <w:rPr>
          <w:szCs w:val="22"/>
          <w:lang w:val="en-US"/>
        </w:rPr>
      </w:pPr>
      <w:r>
        <w:rPr>
          <w:szCs w:val="22"/>
          <w:lang w:val="en-US"/>
        </w:rPr>
        <w:t>[</w:t>
      </w:r>
      <w:r w:rsidRPr="002B6C1D">
        <w:rPr>
          <w:szCs w:val="22"/>
          <w:lang w:val="en-US"/>
        </w:rPr>
        <w:t>http://economytimes.ru/kurs-rulya/osobennosti-rosta-ekonomiki-rossii-v-2017-i-2018-godah-stimuly-i-ogranicheniya</w:t>
      </w:r>
      <w:r>
        <w:rPr>
          <w:szCs w:val="22"/>
          <w:lang w:val="en-US"/>
        </w:rPr>
        <w:t>]</w:t>
      </w:r>
    </w:p>
    <w:p w:rsidR="006E52EE" w:rsidRDefault="006E52EE" w:rsidP="00AE48C4">
      <w:pPr>
        <w:pStyle w:val="af4"/>
        <w:ind w:left="1440" w:firstLine="0"/>
        <w:rPr>
          <w:szCs w:val="22"/>
          <w:lang w:val="en-US"/>
        </w:rPr>
      </w:pPr>
      <w:r>
        <w:rPr>
          <w:szCs w:val="22"/>
          <w:lang w:val="en-US"/>
        </w:rPr>
        <w:t>[</w:t>
      </w:r>
      <w:r w:rsidRPr="006E52EE">
        <w:rPr>
          <w:szCs w:val="22"/>
          <w:lang w:val="en-US"/>
        </w:rPr>
        <w:t>https://data.oecd.org/gdp/investment-forecast.htm</w:t>
      </w:r>
      <w:r>
        <w:rPr>
          <w:szCs w:val="22"/>
          <w:lang w:val="en-US"/>
        </w:rPr>
        <w:t>]</w:t>
      </w:r>
    </w:p>
    <w:p w:rsidR="002B6C1D" w:rsidRPr="002B6C1D" w:rsidRDefault="002B6C1D" w:rsidP="00AE48C4">
      <w:pPr>
        <w:pStyle w:val="af4"/>
        <w:ind w:left="1440" w:firstLine="0"/>
        <w:rPr>
          <w:szCs w:val="22"/>
          <w:lang w:val="en-US"/>
        </w:rPr>
      </w:pP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AD64A1"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lastRenderedPageBreak/>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t>[</w:t>
      </w:r>
      <w:hyperlink r:id="rId52" w:history="1">
        <w:r>
          <w:rPr>
            <w:rStyle w:val="af1"/>
          </w:rPr>
          <w: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0D5A7A" w:rsidRDefault="000D5A7A" w:rsidP="000D5A7A">
      <w:pPr>
        <w:pStyle w:val="af4"/>
        <w:ind w:left="1440" w:firstLine="0"/>
      </w:pPr>
    </w:p>
    <w:p w:rsidR="00550B05" w:rsidRDefault="00550B05" w:rsidP="000D5A7A">
      <w:pPr>
        <w:pStyle w:val="af4"/>
        <w:ind w:left="1440" w:firstLine="0"/>
      </w:pPr>
    </w:p>
    <w:p w:rsidR="00550B05" w:rsidRPr="00550B05" w:rsidRDefault="00550B05" w:rsidP="00550B05">
      <w:pPr>
        <w:pStyle w:val="af4"/>
        <w:numPr>
          <w:ilvl w:val="0"/>
          <w:numId w:val="27"/>
        </w:numPr>
      </w:pPr>
      <w:r w:rsidRPr="00E65D34">
        <w:rPr>
          <w:szCs w:val="22"/>
        </w:rPr>
        <w:t>Импортные таможенные пошлины, (% импорта)</w:t>
      </w:r>
    </w:p>
    <w:p w:rsidR="00550B05" w:rsidRPr="0011491D" w:rsidRDefault="00550B05" w:rsidP="00550B05">
      <w:pPr>
        <w:pStyle w:val="af4"/>
        <w:numPr>
          <w:ilvl w:val="0"/>
          <w:numId w:val="27"/>
        </w:numPr>
      </w:pPr>
      <w:r>
        <w:rPr>
          <w:szCs w:val="22"/>
        </w:rPr>
        <w:t>Украина</w:t>
      </w:r>
    </w:p>
    <w:p w:rsidR="00550B05" w:rsidRDefault="0011491D" w:rsidP="000D5A7A">
      <w:pPr>
        <w:pStyle w:val="af4"/>
        <w:ind w:left="1440" w:firstLine="0"/>
      </w:pPr>
      <w:r>
        <w:rPr>
          <w:szCs w:val="22"/>
          <w:lang w:val="en-US"/>
        </w:rPr>
        <w:t>[</w:t>
      </w:r>
      <w:r w:rsidRPr="0011491D">
        <w:rPr>
          <w:szCs w:val="22"/>
          <w:lang w:val="en-US"/>
        </w:rPr>
        <w:t>https://index.minfin.com.ua/finance/budget/gov/income/2017/</w:t>
      </w:r>
      <w:r>
        <w:rPr>
          <w:szCs w:val="22"/>
          <w:lang w:val="en-US"/>
        </w:rPr>
        <w:t>]</w:t>
      </w:r>
      <w:r w:rsidR="000B1B97">
        <w:rPr>
          <w:lang w:val="en-US"/>
        </w:rPr>
        <w:t xml:space="preserve"> </w:t>
      </w:r>
      <w:r w:rsidR="00550B05">
        <w:rPr>
          <w:lang w:val="en-US"/>
        </w:rPr>
        <w:t>[</w:t>
      </w:r>
      <w:r w:rsidR="00550B05" w:rsidRPr="00550B05">
        <w:rPr>
          <w:lang w:val="en-US"/>
        </w:rPr>
        <w:t>https://atlas.media.mit.edu/ru/profile/country/ukr/#%D0%AD%D0%BA%D1%81%D0%BF%D0%BE%D1%80%D1%82</w:t>
      </w:r>
      <w:r w:rsidR="00550B05">
        <w:rPr>
          <w:lang w:val="en-US"/>
        </w:rPr>
        <w:t>]</w:t>
      </w:r>
    </w:p>
    <w:p w:rsidR="0011491D" w:rsidRDefault="0011491D" w:rsidP="000D5A7A">
      <w:pPr>
        <w:pStyle w:val="af4"/>
        <w:ind w:left="1440" w:firstLine="0"/>
      </w:pPr>
    </w:p>
    <w:p w:rsidR="0011491D" w:rsidRPr="0011491D" w:rsidRDefault="0011491D" w:rsidP="000D5A7A">
      <w:pPr>
        <w:pStyle w:val="af4"/>
        <w:ind w:left="1440" w:firstLine="0"/>
        <w:sectPr w:rsidR="0011491D" w:rsidRPr="0011491D"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AD64A1"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AD64A1"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AD64A1"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AD64A1"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4A1" w:rsidRDefault="00AD64A1">
      <w:r>
        <w:separator/>
      </w:r>
    </w:p>
  </w:endnote>
  <w:endnote w:type="continuationSeparator" w:id="0">
    <w:p w:rsidR="00AD64A1" w:rsidRDefault="00AD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4A1" w:rsidRDefault="00AD64A1">
      <w:r>
        <w:separator/>
      </w:r>
    </w:p>
  </w:footnote>
  <w:footnote w:type="continuationSeparator" w:id="0">
    <w:p w:rsidR="00AD64A1" w:rsidRDefault="00AD6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7A0A">
      <w:rPr>
        <w:noProof/>
        <w:sz w:val="24"/>
        <w:szCs w:val="24"/>
      </w:rPr>
      <w:t>23</w:t>
    </w:r>
    <w:r w:rsidRPr="00830B7C">
      <w:rPr>
        <w:sz w:val="24"/>
        <w:szCs w:val="24"/>
      </w:rPr>
      <w:fldChar w:fldCharType="end"/>
    </w:r>
  </w:p>
  <w:p w:rsidR="002B6C1D" w:rsidRDefault="002B6C1D">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4A12AE">
      <w:rPr>
        <w:noProof/>
        <w:sz w:val="24"/>
        <w:szCs w:val="24"/>
      </w:rPr>
      <w:t>24</w:t>
    </w:r>
    <w:r w:rsidRPr="00830B7C">
      <w:rPr>
        <w:sz w:val="24"/>
        <w:szCs w:val="24"/>
      </w:rPr>
      <w:fldChar w:fldCharType="end"/>
    </w:r>
  </w:p>
  <w:p w:rsidR="002B6C1D" w:rsidRDefault="002B6C1D">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7A0A">
      <w:rPr>
        <w:noProof/>
        <w:sz w:val="24"/>
        <w:szCs w:val="24"/>
      </w:rPr>
      <w:t>33</w:t>
    </w:r>
    <w:r w:rsidRPr="00830B7C">
      <w:rPr>
        <w:sz w:val="24"/>
        <w:szCs w:val="24"/>
      </w:rPr>
      <w:fldChar w:fldCharType="end"/>
    </w:r>
  </w:p>
  <w:p w:rsidR="002B6C1D" w:rsidRDefault="002B6C1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46E"/>
    <w:rsid w:val="00025DE1"/>
    <w:rsid w:val="000261A0"/>
    <w:rsid w:val="0002701A"/>
    <w:rsid w:val="000343C3"/>
    <w:rsid w:val="00034612"/>
    <w:rsid w:val="0004011F"/>
    <w:rsid w:val="00043BFC"/>
    <w:rsid w:val="000505CB"/>
    <w:rsid w:val="00061175"/>
    <w:rsid w:val="00062D24"/>
    <w:rsid w:val="0006307D"/>
    <w:rsid w:val="00063B2E"/>
    <w:rsid w:val="00063CCE"/>
    <w:rsid w:val="00065B38"/>
    <w:rsid w:val="000679FD"/>
    <w:rsid w:val="00073620"/>
    <w:rsid w:val="00081962"/>
    <w:rsid w:val="00083493"/>
    <w:rsid w:val="00087B52"/>
    <w:rsid w:val="00095A1E"/>
    <w:rsid w:val="0009776A"/>
    <w:rsid w:val="000A575C"/>
    <w:rsid w:val="000B1B21"/>
    <w:rsid w:val="000B1B97"/>
    <w:rsid w:val="000B57E3"/>
    <w:rsid w:val="000C03D9"/>
    <w:rsid w:val="000C0E90"/>
    <w:rsid w:val="000C30F0"/>
    <w:rsid w:val="000D0C3F"/>
    <w:rsid w:val="000D3C74"/>
    <w:rsid w:val="000D5A7A"/>
    <w:rsid w:val="000E05AE"/>
    <w:rsid w:val="000E12A0"/>
    <w:rsid w:val="000E5555"/>
    <w:rsid w:val="000F0A6D"/>
    <w:rsid w:val="000F275C"/>
    <w:rsid w:val="000F66AF"/>
    <w:rsid w:val="000F7B80"/>
    <w:rsid w:val="000F7BE6"/>
    <w:rsid w:val="00107E94"/>
    <w:rsid w:val="00110C7A"/>
    <w:rsid w:val="0011491D"/>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9DF"/>
    <w:rsid w:val="001B138D"/>
    <w:rsid w:val="001B310C"/>
    <w:rsid w:val="001B38BC"/>
    <w:rsid w:val="001C31B3"/>
    <w:rsid w:val="001C407A"/>
    <w:rsid w:val="001C5516"/>
    <w:rsid w:val="001D03EA"/>
    <w:rsid w:val="001D44F1"/>
    <w:rsid w:val="001D4F0D"/>
    <w:rsid w:val="001D6FFB"/>
    <w:rsid w:val="001E1610"/>
    <w:rsid w:val="001E1975"/>
    <w:rsid w:val="001E1D18"/>
    <w:rsid w:val="001E30F4"/>
    <w:rsid w:val="001E31C6"/>
    <w:rsid w:val="001E7855"/>
    <w:rsid w:val="001F05F6"/>
    <w:rsid w:val="001F1ECF"/>
    <w:rsid w:val="001F3ED9"/>
    <w:rsid w:val="001F4757"/>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56904"/>
    <w:rsid w:val="00274756"/>
    <w:rsid w:val="0027499E"/>
    <w:rsid w:val="00277202"/>
    <w:rsid w:val="0028080D"/>
    <w:rsid w:val="00284F0D"/>
    <w:rsid w:val="00287FA1"/>
    <w:rsid w:val="002A08EE"/>
    <w:rsid w:val="002A4A83"/>
    <w:rsid w:val="002A79F2"/>
    <w:rsid w:val="002B6C1D"/>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1A9F"/>
    <w:rsid w:val="00382E83"/>
    <w:rsid w:val="003903BE"/>
    <w:rsid w:val="0039439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F6E"/>
    <w:rsid w:val="004E3C42"/>
    <w:rsid w:val="004E7BA0"/>
    <w:rsid w:val="004F2DDE"/>
    <w:rsid w:val="00500774"/>
    <w:rsid w:val="0050131D"/>
    <w:rsid w:val="00502413"/>
    <w:rsid w:val="005039F6"/>
    <w:rsid w:val="00510CFD"/>
    <w:rsid w:val="00513246"/>
    <w:rsid w:val="00520CD7"/>
    <w:rsid w:val="0052295F"/>
    <w:rsid w:val="00532F01"/>
    <w:rsid w:val="00535C3A"/>
    <w:rsid w:val="00542397"/>
    <w:rsid w:val="00546F80"/>
    <w:rsid w:val="00547396"/>
    <w:rsid w:val="00550B05"/>
    <w:rsid w:val="00554939"/>
    <w:rsid w:val="0055711A"/>
    <w:rsid w:val="00557B47"/>
    <w:rsid w:val="0056166B"/>
    <w:rsid w:val="0056240C"/>
    <w:rsid w:val="00570937"/>
    <w:rsid w:val="0057284D"/>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32D8"/>
    <w:rsid w:val="006E182F"/>
    <w:rsid w:val="006E438B"/>
    <w:rsid w:val="006E52EE"/>
    <w:rsid w:val="006E7DFA"/>
    <w:rsid w:val="006F0025"/>
    <w:rsid w:val="006F1407"/>
    <w:rsid w:val="00711160"/>
    <w:rsid w:val="007146C8"/>
    <w:rsid w:val="00720A4B"/>
    <w:rsid w:val="007220C5"/>
    <w:rsid w:val="00722884"/>
    <w:rsid w:val="00727A6A"/>
    <w:rsid w:val="00733810"/>
    <w:rsid w:val="00734F7C"/>
    <w:rsid w:val="0073685E"/>
    <w:rsid w:val="007474EB"/>
    <w:rsid w:val="007552F2"/>
    <w:rsid w:val="00761429"/>
    <w:rsid w:val="00765EB2"/>
    <w:rsid w:val="00767DFA"/>
    <w:rsid w:val="00770998"/>
    <w:rsid w:val="00771677"/>
    <w:rsid w:val="0077169F"/>
    <w:rsid w:val="00772E59"/>
    <w:rsid w:val="00774CDC"/>
    <w:rsid w:val="00777358"/>
    <w:rsid w:val="007822AF"/>
    <w:rsid w:val="007835A0"/>
    <w:rsid w:val="00791ED4"/>
    <w:rsid w:val="007922C8"/>
    <w:rsid w:val="00796B3D"/>
    <w:rsid w:val="00797071"/>
    <w:rsid w:val="007A1A67"/>
    <w:rsid w:val="007A4C0B"/>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733A"/>
    <w:rsid w:val="008117AD"/>
    <w:rsid w:val="00813AE5"/>
    <w:rsid w:val="0081772A"/>
    <w:rsid w:val="008200E7"/>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759D6"/>
    <w:rsid w:val="00885361"/>
    <w:rsid w:val="0088603D"/>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55ABD"/>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0ECA"/>
    <w:rsid w:val="00A83A35"/>
    <w:rsid w:val="00A91EEB"/>
    <w:rsid w:val="00A95F4A"/>
    <w:rsid w:val="00AA02E8"/>
    <w:rsid w:val="00AA1155"/>
    <w:rsid w:val="00AA13BF"/>
    <w:rsid w:val="00AA23B0"/>
    <w:rsid w:val="00AA4577"/>
    <w:rsid w:val="00AA56E3"/>
    <w:rsid w:val="00AA6C59"/>
    <w:rsid w:val="00AA7EB2"/>
    <w:rsid w:val="00AB43F2"/>
    <w:rsid w:val="00AB7E1B"/>
    <w:rsid w:val="00AC6E90"/>
    <w:rsid w:val="00AC7D93"/>
    <w:rsid w:val="00AD0248"/>
    <w:rsid w:val="00AD224F"/>
    <w:rsid w:val="00AD64A1"/>
    <w:rsid w:val="00AD6738"/>
    <w:rsid w:val="00AE2829"/>
    <w:rsid w:val="00AE3160"/>
    <w:rsid w:val="00AE3717"/>
    <w:rsid w:val="00AE48C4"/>
    <w:rsid w:val="00AF764B"/>
    <w:rsid w:val="00B007B5"/>
    <w:rsid w:val="00B02DA7"/>
    <w:rsid w:val="00B04E67"/>
    <w:rsid w:val="00B10D17"/>
    <w:rsid w:val="00B15638"/>
    <w:rsid w:val="00B16AA2"/>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338E"/>
    <w:rsid w:val="00C079B4"/>
    <w:rsid w:val="00C110FF"/>
    <w:rsid w:val="00C12D94"/>
    <w:rsid w:val="00C14F19"/>
    <w:rsid w:val="00C16887"/>
    <w:rsid w:val="00C214C1"/>
    <w:rsid w:val="00C273F4"/>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53E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803A2"/>
    <w:rsid w:val="00D84077"/>
    <w:rsid w:val="00D84EB5"/>
    <w:rsid w:val="00D945DF"/>
    <w:rsid w:val="00DA296D"/>
    <w:rsid w:val="00DA3566"/>
    <w:rsid w:val="00DA60FC"/>
    <w:rsid w:val="00DA6F9E"/>
    <w:rsid w:val="00DA713E"/>
    <w:rsid w:val="00DB1640"/>
    <w:rsid w:val="00DB1BB9"/>
    <w:rsid w:val="00DB30B9"/>
    <w:rsid w:val="00DB3F9E"/>
    <w:rsid w:val="00DB6E70"/>
    <w:rsid w:val="00DC0052"/>
    <w:rsid w:val="00DD1EB7"/>
    <w:rsid w:val="00DD31AF"/>
    <w:rsid w:val="00DD5A36"/>
    <w:rsid w:val="00DE08B6"/>
    <w:rsid w:val="00DE2ED3"/>
    <w:rsid w:val="00DE3A51"/>
    <w:rsid w:val="00DE421D"/>
    <w:rsid w:val="00DE4D40"/>
    <w:rsid w:val="00DF4EF1"/>
    <w:rsid w:val="00DF5E26"/>
    <w:rsid w:val="00E04ED7"/>
    <w:rsid w:val="00E06940"/>
    <w:rsid w:val="00E10DEE"/>
    <w:rsid w:val="00E12C9C"/>
    <w:rsid w:val="00E141D9"/>
    <w:rsid w:val="00E27B44"/>
    <w:rsid w:val="00E30892"/>
    <w:rsid w:val="00E30F1F"/>
    <w:rsid w:val="00E31B4D"/>
    <w:rsid w:val="00E340DB"/>
    <w:rsid w:val="00E408E2"/>
    <w:rsid w:val="00E41ECC"/>
    <w:rsid w:val="00E5254E"/>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C319E"/>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96FA8-AFFD-41B4-9EE2-67DBC97F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Template>
  <TotalTime>2001</TotalTime>
  <Pages>36</Pages>
  <Words>11147</Words>
  <Characters>63540</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74538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392</cp:revision>
  <cp:lastPrinted>2013-01-11T04:01:00Z</cp:lastPrinted>
  <dcterms:created xsi:type="dcterms:W3CDTF">2019-02-23T05:23:00Z</dcterms:created>
  <dcterms:modified xsi:type="dcterms:W3CDTF">2019-05-26T10:00:00Z</dcterms:modified>
</cp:coreProperties>
</file>