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9C55F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 w:rsidSect="004B0A4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1. Общие положения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3948DE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3948DE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3948DE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3948DE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3948DE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3948DE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3948DE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3948DE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3948DE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3948DE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3948DE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3948DE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3948DE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3948DE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3948DE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3948DE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3948DE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3948DE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3948DE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3948DE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3948DE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>4. 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3948DE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3948DE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3948DE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Схема 1.   Структура 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357C6F" w:rsidRDefault="00357C6F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357C6F" w:rsidRDefault="00357C6F">
                            <w:pPr>
                              <w:pStyle w:val="210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357C6F" w:rsidRDefault="00357C6F">
                      <w:pPr>
                        <w:pStyle w:val="210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357C6F" w:rsidRDefault="00357C6F">
                      <w:pPr>
                        <w:pStyle w:val="210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357C6F" w:rsidRDefault="00357C6F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Default="00357C6F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357C6F" w:rsidRDefault="00357C6F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6F" w:rsidRPr="00E87173" w:rsidRDefault="00357C6F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357C6F" w:rsidRDefault="00357C6F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357C6F" w:rsidRPr="00E87173" w:rsidRDefault="00357C6F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357C6F" w:rsidRDefault="00357C6F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фонда;</w:t>
      </w:r>
    </w:p>
    <w:p w:rsidR="002807A4" w:rsidRDefault="002807A4" w:rsidP="003948DE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3948DE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3948DE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3948DE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3948DE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3948DE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3948DE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357C6F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3948DE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>Распределение сотрудников Пенсионного фонда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5CD6DA5D" wp14:editId="39841C85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B571E9">
      <w:pPr>
        <w:pStyle w:val="a0"/>
      </w:pPr>
      <w:r w:rsidRPr="004A77DE"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C46E206" wp14:editId="6659D37F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B571E9">
      <w:pPr>
        <w:pStyle w:val="a0"/>
        <w:numPr>
          <w:ilvl w:val="0"/>
          <w:numId w:val="0"/>
        </w:num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B571E9">
      <w:pPr>
        <w:pStyle w:val="a0"/>
      </w:pPr>
      <w:r w:rsidRPr="004A77DE"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F13AEBE" wp14:editId="51236F50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</w:t>
      </w:r>
      <w:proofErr w:type="gramStart"/>
      <w:r>
        <w:rPr>
          <w:lang w:eastAsia="en-US"/>
        </w:rPr>
        <w:t>.</w:t>
      </w:r>
      <w:proofErr w:type="gramEnd"/>
      <w:r w:rsidR="00374000">
        <w:rPr>
          <w:lang w:eastAsia="en-US"/>
        </w:rPr>
        <w:t xml:space="preserve"> </w:t>
      </w:r>
      <w:r w:rsidR="00374000" w:rsidRPr="00374000">
        <w:t xml:space="preserve">Также  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2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374000" w:rsidRDefault="00374000" w:rsidP="004E703B">
      <w:pPr>
        <w:pStyle w:val="a2"/>
        <w:rPr>
          <w:lang w:eastAsia="en-US"/>
        </w:rPr>
      </w:pPr>
      <w:r>
        <w:rPr>
          <w:lang w:eastAsia="en-US"/>
        </w:rPr>
        <w:br w:type="page"/>
      </w:r>
    </w:p>
    <w:p w:rsidR="00374000" w:rsidRDefault="00374000" w:rsidP="004E703B">
      <w:pPr>
        <w:pStyle w:val="a2"/>
        <w:rPr>
          <w:lang w:eastAsia="en-US"/>
        </w:rPr>
      </w:pPr>
    </w:p>
    <w:p w:rsidR="005A2030" w:rsidRDefault="004A77DE" w:rsidP="00B571E9">
      <w:pPr>
        <w:pStyle w:val="a0"/>
      </w:pPr>
      <w:r w:rsidRPr="004A77DE">
        <w:t>Соотношение мужчин и женщин</w:t>
      </w:r>
    </w:p>
    <w:p w:rsidR="004E0BE5" w:rsidRDefault="004E0BE5" w:rsidP="004E703B">
      <w:pPr>
        <w:pStyle w:val="a2"/>
        <w:rPr>
          <w:lang w:val="en-US" w:eastAsia="en-US"/>
        </w:rPr>
      </w:pPr>
      <w:r>
        <w:rPr>
          <w:noProof/>
        </w:rPr>
        <w:drawing>
          <wp:inline distT="0" distB="0" distL="0" distR="0" wp14:anchorId="5772240E" wp14:editId="50DE1EAD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</w:t>
      </w:r>
      <w:r w:rsidR="00357C6F">
        <w:rPr>
          <w:lang w:eastAsia="en-US"/>
        </w:rPr>
        <w:t xml:space="preserve"> и ведущего специалиста</w:t>
      </w:r>
      <w:r>
        <w:rPr>
          <w:lang w:eastAsia="en-US"/>
        </w:rPr>
        <w:t xml:space="preserve">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B571E9">
      <w:pPr>
        <w:pStyle w:val="a0"/>
      </w:pPr>
      <w:r>
        <w:t>Ш</w:t>
      </w:r>
      <w:r w:rsidRPr="005A2030">
        <w:t>татн</w:t>
      </w:r>
      <w:r w:rsidR="004A77DE"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  <w: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794E4D2B" wp14:editId="4BF35B2A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374000" w:rsidRDefault="00374000" w:rsidP="004A77DE">
      <w:pPr>
        <w:pStyle w:val="a2"/>
      </w:pPr>
    </w:p>
    <w:p w:rsidR="0047081B" w:rsidRDefault="0047081B" w:rsidP="00374000">
      <w:pPr>
        <w:pStyle w:val="a2"/>
      </w:pPr>
      <w:r w:rsidRPr="005879C5">
        <w:lastRenderedPageBreak/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3A6A15" w:rsidRDefault="003A6A15" w:rsidP="00374000">
      <w:pPr>
        <w:pStyle w:val="a2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082E63" w:rsidRDefault="00374000" w:rsidP="00374000">
      <w:pPr>
        <w:pStyle w:val="a2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2"/>
      </w:pPr>
      <w:r>
        <w:t xml:space="preserve">Посмотрим на основные причины увольнений сотрудников за предыдущий год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3.6</w:t>
      </w:r>
      <w:r>
        <w:fldChar w:fldCharType="end"/>
      </w:r>
      <w:r>
        <w:t>.</w:t>
      </w:r>
    </w:p>
    <w:p w:rsidR="007A202A" w:rsidRDefault="007A202A" w:rsidP="005879C5">
      <w:pPr>
        <w:pStyle w:val="a2"/>
      </w:pPr>
    </w:p>
    <w:p w:rsidR="007A202A" w:rsidRDefault="007A202A" w:rsidP="007A202A">
      <w:pPr>
        <w:pStyle w:val="a0"/>
      </w:pPr>
      <w:bookmarkStart w:id="6" w:name="_Ref10658841"/>
      <w:r w:rsidRPr="007A202A">
        <w:t>Анализ причин увольнения</w:t>
      </w:r>
      <w:bookmarkEnd w:id="6"/>
    </w:p>
    <w:p w:rsidR="007A202A" w:rsidRDefault="007A202A" w:rsidP="007A202A">
      <w:pPr>
        <w:pStyle w:val="a2"/>
      </w:pPr>
      <w:bookmarkStart w:id="7" w:name="_GoBack"/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7"/>
    </w:p>
    <w:p w:rsidR="007A202A" w:rsidRPr="005879C5" w:rsidRDefault="007A202A" w:rsidP="005879C5">
      <w:pPr>
        <w:pStyle w:val="a2"/>
      </w:pPr>
    </w:p>
    <w:p w:rsidR="00374000" w:rsidRDefault="00374000" w:rsidP="004A77DE">
      <w:pPr>
        <w:pStyle w:val="a2"/>
      </w:pPr>
    </w:p>
    <w:p w:rsidR="004A77DE" w:rsidRDefault="004A77DE" w:rsidP="004A77DE">
      <w:pPr>
        <w:pStyle w:val="a2"/>
      </w:pPr>
      <w:r>
        <w:t xml:space="preserve">С апреля 2015 г. в ДНР производится выплата пенсий.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</w:t>
      </w:r>
      <w:r w:rsidR="00FF0329">
        <w:t xml:space="preserve"> </w:t>
      </w:r>
      <w:r w:rsidR="00FF0329">
        <w:fldChar w:fldCharType="begin"/>
      </w:r>
      <w:r w:rsidR="00FF0329">
        <w:instrText xml:space="preserve"> REF  _Ref10656648 \h \r \t </w:instrText>
      </w:r>
      <w:r w:rsidR="00FF0329">
        <w:fldChar w:fldCharType="separate"/>
      </w:r>
      <w:r w:rsidR="00FF0329">
        <w:t>3.6</w:t>
      </w:r>
      <w:r w:rsidR="00FF0329">
        <w:fldChar w:fldCharType="end"/>
      </w:r>
      <w:r>
        <w:t>).</w:t>
      </w:r>
    </w:p>
    <w:p w:rsidR="00B571E9" w:rsidRPr="004A77DE" w:rsidRDefault="00B571E9" w:rsidP="004A77DE">
      <w:pPr>
        <w:pStyle w:val="a2"/>
      </w:pPr>
    </w:p>
    <w:p w:rsidR="00B571E9" w:rsidRPr="00B571E9" w:rsidRDefault="00B571E9" w:rsidP="00B571E9">
      <w:pPr>
        <w:pStyle w:val="a0"/>
      </w:pPr>
      <w:bookmarkStart w:id="8" w:name="_Ref10656648"/>
      <w:r>
        <w:t xml:space="preserve">Общее количество пенсионеров зарегистрированных </w:t>
      </w:r>
      <w:r w:rsidRPr="00B571E9">
        <w:t>пенсионным</w:t>
      </w:r>
      <w:r>
        <w:t xml:space="preserve"> фондом ДНР</w:t>
      </w:r>
      <w:bookmarkEnd w:id="8"/>
    </w:p>
    <w:p w:rsidR="00B571E9" w:rsidRDefault="00B571E9" w:rsidP="00B571E9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3D840A47" wp14:editId="0D8B1EE3">
            <wp:extent cx="5486400" cy="3200400"/>
            <wp:effectExtent l="0" t="0" r="19050" b="1905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9" w:name="_Toc3616788"/>
      <w:r w:rsidRPr="00B547F0">
        <w:lastRenderedPageBreak/>
        <w:t>Выводы</w:t>
      </w:r>
      <w:bookmarkEnd w:id="9"/>
    </w:p>
    <w:p w:rsidR="00223547" w:rsidRDefault="00223547" w:rsidP="00223547">
      <w:pPr>
        <w:pStyle w:val="a2"/>
      </w:pPr>
    </w:p>
    <w:p w:rsidR="00223547" w:rsidRPr="00223547" w:rsidRDefault="00223547" w:rsidP="00223547">
      <w:pPr>
        <w:pStyle w:val="a2"/>
      </w:pPr>
    </w:p>
    <w:p w:rsidR="00223547" w:rsidRDefault="00223547" w:rsidP="00223547">
      <w:pPr>
        <w:pStyle w:val="a2"/>
      </w:pPr>
      <w:r>
        <w:t xml:space="preserve">Подведя итог работы можно сделать выводы о </w:t>
      </w:r>
      <w:r w:rsidR="00F731D0">
        <w:t>кадровой структуре</w:t>
      </w:r>
      <w:r>
        <w:t xml:space="preserve">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t>.</w:t>
      </w:r>
    </w:p>
    <w:p w:rsidR="002F4FFF" w:rsidRDefault="00EE1232" w:rsidP="002F4FFF">
      <w:pPr>
        <w:pStyle w:val="a2"/>
      </w:pPr>
      <w:r>
        <w:t xml:space="preserve">На данный момент в </w:t>
      </w:r>
      <w:r w:rsidRPr="002807A4">
        <w:rPr>
          <w:lang w:eastAsia="en-US"/>
        </w:rPr>
        <w:t>управлени</w:t>
      </w:r>
      <w:r>
        <w:rPr>
          <w:lang w:eastAsia="en-US"/>
        </w:rPr>
        <w:t>я</w:t>
      </w:r>
      <w:r w:rsidRPr="002807A4">
        <w:rPr>
          <w:lang w:eastAsia="en-US"/>
        </w:rPr>
        <w:t xml:space="preserve"> </w:t>
      </w:r>
      <w:r>
        <w:rPr>
          <w:lang w:eastAsia="en-US"/>
        </w:rPr>
        <w:t>П</w:t>
      </w:r>
      <w:r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 xml:space="preserve"> работает полный штат сотрудников</w:t>
      </w:r>
    </w:p>
    <w:p w:rsidR="00F731D0" w:rsidRDefault="00F731D0" w:rsidP="002F4FFF">
      <w:pPr>
        <w:pStyle w:val="a2"/>
      </w:pPr>
    </w:p>
    <w:p w:rsidR="00F731D0" w:rsidRPr="002F4FFF" w:rsidRDefault="00F731D0" w:rsidP="002F4FFF">
      <w:pPr>
        <w:pStyle w:val="a2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10" w:name="_Toc3616789"/>
      <w:r w:rsidRPr="005A41E9">
        <w:lastRenderedPageBreak/>
        <w:t>СПИСОК ЛИТЕРАТУРЫ</w:t>
      </w:r>
      <w:bookmarkEnd w:id="10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FE" w:rsidRDefault="009C55FE" w:rsidP="00B547F0">
      <w:pPr>
        <w:spacing w:after="0" w:line="240" w:lineRule="auto"/>
      </w:pPr>
      <w:r>
        <w:separator/>
      </w:r>
    </w:p>
  </w:endnote>
  <w:endnote w:type="continuationSeparator" w:id="0">
    <w:p w:rsidR="009C55FE" w:rsidRDefault="009C55FE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FE" w:rsidRDefault="009C55FE" w:rsidP="00B547F0">
      <w:pPr>
        <w:spacing w:after="0" w:line="240" w:lineRule="auto"/>
      </w:pPr>
      <w:r>
        <w:separator/>
      </w:r>
    </w:p>
  </w:footnote>
  <w:footnote w:type="continuationSeparator" w:id="0">
    <w:p w:rsidR="009C55FE" w:rsidRDefault="009C55FE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57C6F" w:rsidRPr="00F74193" w:rsidRDefault="00357C6F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67C5">
          <w:rPr>
            <w:rFonts w:ascii="Times New Roman" w:hAnsi="Times New Roman" w:cs="Times New Roman"/>
            <w:noProof/>
            <w:sz w:val="24"/>
            <w:szCs w:val="24"/>
          </w:rPr>
          <w:t>27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57C6F" w:rsidRDefault="00357C6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94121F8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2E63"/>
    <w:rsid w:val="00084D3D"/>
    <w:rsid w:val="000855AB"/>
    <w:rsid w:val="00085F7A"/>
    <w:rsid w:val="0009574B"/>
    <w:rsid w:val="000B1CB2"/>
    <w:rsid w:val="000F1F75"/>
    <w:rsid w:val="0010633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23547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51641"/>
    <w:rsid w:val="003533C3"/>
    <w:rsid w:val="00357C1D"/>
    <w:rsid w:val="00357C6F"/>
    <w:rsid w:val="003665D0"/>
    <w:rsid w:val="00374000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7081B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602DD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33F5"/>
    <w:rsid w:val="007821E3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67178"/>
    <w:rsid w:val="00977B34"/>
    <w:rsid w:val="00982FF5"/>
    <w:rsid w:val="009900F5"/>
    <w:rsid w:val="00993EB1"/>
    <w:rsid w:val="009C55FE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BF291F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4DA0"/>
    <w:rsid w:val="00F30C79"/>
    <w:rsid w:val="00F3145C"/>
    <w:rsid w:val="00F448B5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B571E9"/>
    <w:pPr>
      <w:numPr>
        <w:ilvl w:val="8"/>
        <w:numId w:val="1"/>
      </w:numPr>
      <w:jc w:val="left"/>
    </w:pPr>
    <w:rPr>
      <w:lang w:eastAsia="en-US"/>
    </w:r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общая сумма выплаченных пений, млрд. руб.</c:v>
                </c:pt>
              </c:strCache>
            </c:strRef>
          </c:tx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653</c:v>
                </c:pt>
                <c:pt idx="1">
                  <c:v>679.7</c:v>
                </c:pt>
                <c:pt idx="2">
                  <c:v>680.9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788736"/>
        <c:axId val="212790272"/>
      </c:bar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Количество пенсионеров, зарегистрированных пенсионным фондом ДНР, тыс. чел.</c:v>
                </c:pt>
              </c:strCache>
            </c:strRef>
          </c:tx>
          <c:dLbls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19.399999999999999</c:v>
                </c:pt>
                <c:pt idx="1">
                  <c:v>32.6</c:v>
                </c:pt>
                <c:pt idx="2">
                  <c:v>34.5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798464"/>
        <c:axId val="212796544"/>
      </c:lineChart>
      <c:catAx>
        <c:axId val="21278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2790272"/>
        <c:crosses val="autoZero"/>
        <c:auto val="1"/>
        <c:lblAlgn val="ctr"/>
        <c:lblOffset val="100"/>
        <c:noMultiLvlLbl val="0"/>
      </c:catAx>
      <c:valAx>
        <c:axId val="21279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тыс. чел.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788736"/>
        <c:crosses val="autoZero"/>
        <c:crossBetween val="between"/>
      </c:valAx>
      <c:valAx>
        <c:axId val="212796544"/>
        <c:scaling>
          <c:orientation val="minMax"/>
        </c:scaling>
        <c:delete val="0"/>
        <c:axPos val="r"/>
        <c:title>
          <c:overlay val="0"/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212798464"/>
        <c:crosses val="max"/>
        <c:crossBetween val="between"/>
      </c:valAx>
      <c:catAx>
        <c:axId val="212798464"/>
        <c:scaling>
          <c:orientation val="minMax"/>
        </c:scaling>
        <c:delete val="1"/>
        <c:axPos val="b"/>
        <c:majorTickMark val="out"/>
        <c:minorTickMark val="none"/>
        <c:tickLblPos val="nextTo"/>
        <c:crossAx val="212796544"/>
        <c:crosses val="autoZero"/>
        <c:auto val="1"/>
        <c:lblAlgn val="ctr"/>
        <c:lblOffset val="100"/>
        <c:noMultiLvlLbl val="0"/>
      </c:catAx>
      <c:spPr>
        <a:noFill/>
        <a:ln w="25400">
          <a:noFill/>
        </a:ln>
      </c:spPr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68A16A-BFC8-445A-BC04-FE1E5529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32</Pages>
  <Words>5181</Words>
  <Characters>29536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19</cp:revision>
  <cp:lastPrinted>2019-03-16T05:21:00Z</cp:lastPrinted>
  <dcterms:created xsi:type="dcterms:W3CDTF">2019-03-10T11:31:00Z</dcterms:created>
  <dcterms:modified xsi:type="dcterms:W3CDTF">2019-06-05T17:30:00Z</dcterms:modified>
</cp:coreProperties>
</file>