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357608" w:rsidRDefault="00B9465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caps/>
          <w:sz w:val="20"/>
        </w:rPr>
        <w:fldChar w:fldCharType="begin"/>
      </w:r>
      <w:r>
        <w:rPr>
          <w:caps/>
          <w:sz w:val="20"/>
        </w:rPr>
        <w:instrText xml:space="preserve"> TOC \o "1-3" \h \z \u </w:instrText>
      </w:r>
      <w:r>
        <w:rPr>
          <w:caps/>
          <w:sz w:val="20"/>
        </w:rPr>
        <w:fldChar w:fldCharType="separate"/>
      </w:r>
      <w:hyperlink w:anchor="_Toc10968220" w:history="1">
        <w:r w:rsidR="00357608" w:rsidRPr="00B616D2">
          <w:rPr>
            <w:rStyle w:val="ab"/>
            <w:noProof/>
          </w:rPr>
          <w:t>Реферат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_Toc10968220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3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1" w:history="1">
        <w:r w:rsidR="00357608" w:rsidRPr="00B616D2">
          <w:rPr>
            <w:rStyle w:val="ab"/>
            <w:noProof/>
          </w:rPr>
          <w:t>ВВЕДЕНИЕ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_Toc10968221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4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2" w:history="1">
        <w:r w:rsidR="00357608" w:rsidRPr="00B616D2">
          <w:rPr>
            <w:rStyle w:val="ab"/>
            <w:noProof/>
          </w:rPr>
          <w:t>1 ОРГАНИЗАЦИОННАЯ СТРУКТУРА И ОБЩАЯ ХАРАКТЕРИСТИКА ДЕЯТЕЛЬНОСТИ ПРЕДПРИЯТИЯ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_Toc10968222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7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68223" w:history="1">
        <w:r w:rsidR="00357608" w:rsidRPr="00B616D2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_Toc10968223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7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68224" w:history="1">
        <w:r w:rsidR="00357608" w:rsidRPr="00B616D2">
          <w:rPr>
            <w:rStyle w:val="ab"/>
            <w:noProof/>
          </w:rPr>
          <w:t>1.2 Система управления персоналом и кадровая политика организации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_Toc10968224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15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5" w:history="1">
        <w:r w:rsidR="00357608" w:rsidRPr="00B616D2">
          <w:rPr>
            <w:rStyle w:val="ab"/>
            <w:noProof/>
          </w:rPr>
          <w:t>2 АНАЛИЗ СИСТЕМЫ УПРАВЛЕНИЯ ПЕРСОНАЛОМ В УПРАВЛЕНИИ ПЕНСИОННОГО ФОНДА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_Toc10968225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24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968226" w:history="1">
        <w:r w:rsidR="00357608" w:rsidRPr="00B616D2">
          <w:rPr>
            <w:rStyle w:val="ab"/>
            <w:noProof/>
            <w:lang w:eastAsia="en-US"/>
          </w:rPr>
          <w:t>2.1 Состав и структура кадров организации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_Toc10968226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24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7" w:history="1">
        <w:r w:rsidR="00357608" w:rsidRPr="00B616D2">
          <w:rPr>
            <w:rStyle w:val="ab"/>
            <w:noProof/>
          </w:rPr>
          <w:t>заключение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_Toc10968227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37</w:t>
        </w:r>
        <w:r w:rsidR="00357608">
          <w:rPr>
            <w:noProof/>
            <w:webHidden/>
          </w:rPr>
          <w:fldChar w:fldCharType="end"/>
        </w:r>
      </w:hyperlink>
    </w:p>
    <w:p w:rsidR="00357608" w:rsidRDefault="00FC546A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0968228" w:history="1">
        <w:r w:rsidR="00357608" w:rsidRPr="00B616D2">
          <w:rPr>
            <w:rStyle w:val="ab"/>
            <w:noProof/>
          </w:rPr>
          <w:t>СПИСОК ЛИТЕРАТУРЫ</w:t>
        </w:r>
        <w:r w:rsidR="00357608">
          <w:rPr>
            <w:noProof/>
            <w:webHidden/>
          </w:rPr>
          <w:tab/>
        </w:r>
        <w:r w:rsidR="00357608">
          <w:rPr>
            <w:noProof/>
            <w:webHidden/>
          </w:rPr>
          <w:fldChar w:fldCharType="begin"/>
        </w:r>
        <w:r w:rsidR="00357608">
          <w:rPr>
            <w:noProof/>
            <w:webHidden/>
          </w:rPr>
          <w:instrText xml:space="preserve"> PAGEREF _Toc10968228 \h </w:instrText>
        </w:r>
        <w:r w:rsidR="00357608">
          <w:rPr>
            <w:noProof/>
            <w:webHidden/>
          </w:rPr>
        </w:r>
        <w:r w:rsidR="00357608">
          <w:rPr>
            <w:noProof/>
            <w:webHidden/>
          </w:rPr>
          <w:fldChar w:fldCharType="separate"/>
        </w:r>
        <w:r w:rsidR="00357608">
          <w:rPr>
            <w:noProof/>
            <w:webHidden/>
          </w:rPr>
          <w:t>38</w:t>
        </w:r>
        <w:r w:rsidR="00357608">
          <w:rPr>
            <w:noProof/>
            <w:webHidden/>
          </w:rPr>
          <w:fldChar w:fldCharType="end"/>
        </w:r>
      </w:hyperlink>
    </w:p>
    <w:p w:rsidR="005F5F08" w:rsidRDefault="00B94653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aps/>
          <w:sz w:val="20"/>
        </w:rPr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968220"/>
      <w:r>
        <w:lastRenderedPageBreak/>
        <w:t>Р</w:t>
      </w:r>
      <w:r w:rsidR="00B94653">
        <w:rPr>
          <w:caps w:val="0"/>
        </w:rPr>
        <w:t>еферат</w:t>
      </w:r>
      <w:bookmarkEnd w:id="0"/>
    </w:p>
    <w:p w:rsidR="00ED3898" w:rsidRDefault="00ED3898" w:rsidP="00617323">
      <w:pPr>
        <w:pStyle w:val="a4"/>
      </w:pPr>
      <w:r>
        <w:t xml:space="preserve">Отчет: 39 страниц, </w:t>
      </w:r>
      <w:r w:rsidRPr="00ED3898">
        <w:t>6 таблиц</w:t>
      </w:r>
      <w:r>
        <w:t>, 6 рисунков, 15 источников.</w:t>
      </w:r>
    </w:p>
    <w:p w:rsidR="00ED3898" w:rsidRDefault="00ED3898" w:rsidP="00ED3898">
      <w:pPr>
        <w:pStyle w:val="a4"/>
      </w:pPr>
      <w:r>
        <w:t>Объектом работы является управление Пенсионного фонда Донецкой Народной Республики в Центрально-Городском районе г. Горловки</w:t>
      </w:r>
    </w:p>
    <w:p w:rsidR="00ED3898" w:rsidRDefault="00ED3898" w:rsidP="00ED3898">
      <w:pPr>
        <w:pStyle w:val="a4"/>
      </w:pPr>
      <w:r>
        <w:t>Предметом исследования являются уровни управления организации, состав и структура кадров организации, система управления организацией и кадровая политика.</w:t>
      </w:r>
    </w:p>
    <w:p w:rsidR="00ED3898" w:rsidRDefault="00ED3898" w:rsidP="00617323">
      <w:pPr>
        <w:pStyle w:val="a4"/>
      </w:pPr>
      <w:r>
        <w:t xml:space="preserve">Целью работы является закрепление, расширение и применение знаний, полученных в процессе обучения, приобретение практического опыта. </w:t>
      </w:r>
    </w:p>
    <w:p w:rsidR="00ED3898" w:rsidRDefault="00ED3898" w:rsidP="00617323">
      <w:pPr>
        <w:pStyle w:val="a4"/>
      </w:pPr>
      <w:r>
        <w:t>В отчете рассмотрены общая характеристика предприятия</w:t>
      </w:r>
      <w:r w:rsidR="00B25B2C">
        <w:t>, система управления персоналом и кадровая политика Пенсионного фонда, а также проанализирован состав и структура кадров предприятия.</w:t>
      </w:r>
    </w:p>
    <w:p w:rsidR="005F5F08" w:rsidRPr="00ED3898" w:rsidRDefault="005F5F08" w:rsidP="007469C2">
      <w:pPr>
        <w:pStyle w:val="a4"/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968221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6E5471" w:rsidP="0039166C">
      <w:pPr>
        <w:pStyle w:val="a4"/>
      </w:pPr>
      <w:r>
        <w:t>П</w:t>
      </w:r>
      <w:r w:rsidR="0039166C">
        <w:t>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6E5471" w:rsidP="0039166C">
      <w:pPr>
        <w:pStyle w:val="a4"/>
      </w:pPr>
      <w:r>
        <w:t>С</w:t>
      </w:r>
      <w:r w:rsidR="0039166C">
        <w:t>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6E5471" w:rsidP="0039166C">
      <w:pPr>
        <w:pStyle w:val="a4"/>
      </w:pPr>
      <w:proofErr w:type="gramStart"/>
      <w:r>
        <w:lastRenderedPageBreak/>
        <w:t>В</w:t>
      </w:r>
      <w:r w:rsidR="0039166C">
        <w:t xml:space="preserve">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 w:rsidR="0039166C"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6E5471" w:rsidP="0039166C">
      <w:pPr>
        <w:pStyle w:val="a4"/>
      </w:pPr>
      <w:r>
        <w:t>Р</w:t>
      </w:r>
      <w:r w:rsidR="0039166C">
        <w:t>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6E5471" w:rsidP="0039166C">
      <w:pPr>
        <w:pStyle w:val="a4"/>
      </w:pPr>
      <w:r>
        <w:t>И</w:t>
      </w:r>
      <w:r w:rsidR="0039166C">
        <w:t xml:space="preserve">менно в управлении персоналом актуальна проблема </w:t>
      </w:r>
      <w:proofErr w:type="gramStart"/>
      <w:r w:rsidR="0039166C">
        <w:t>корпоративного</w:t>
      </w:r>
      <w:proofErr w:type="gramEnd"/>
      <w:r w:rsidR="0039166C"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t xml:space="preserve">В-шестых, в связи с динамизмом экономики и постоянными изменениями в законодательстве, в корпоративных правилах, персонал </w:t>
      </w:r>
      <w:r>
        <w:lastRenderedPageBreak/>
        <w:t>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612C03" w:rsidRDefault="00612C03" w:rsidP="0039166C">
      <w:pPr>
        <w:pStyle w:val="a4"/>
      </w:pP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2" w:name="_Toc10968222"/>
      <w:r w:rsidRPr="00417108">
        <w:lastRenderedPageBreak/>
        <w:t>ОРГАНИЗАЦИОННАЯ СТРУКТУРА И ОБЩАЯ ХАРАКТЕРИСТИКА ДЕЯТЕЛЬНОСТИ ПРЕДПРИЯТИЯ</w:t>
      </w:r>
      <w:bookmarkEnd w:id="2"/>
    </w:p>
    <w:p w:rsidR="00276514" w:rsidRDefault="008F4B17" w:rsidP="00276514">
      <w:pPr>
        <w:pStyle w:val="20"/>
        <w:rPr>
          <w:lang w:eastAsia="en-US"/>
        </w:rPr>
      </w:pPr>
      <w:bookmarkStart w:id="3" w:name="_Toc10968223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4" w:name="_Toc10968224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2A57D3" w:rsidRPr="002A57D3">
        <w:rPr>
          <w:lang w:eastAsia="en-US"/>
        </w:rPr>
        <w:t>Графическая структура управления</w:t>
      </w:r>
      <w:r w:rsidR="003F3A63">
        <w:rPr>
          <w:lang w:eastAsia="en-US"/>
        </w:rPr>
        <w:t xml:space="preserve"> представлена на рис. </w:t>
      </w:r>
      <w:r w:rsidR="00BD2143">
        <w:rPr>
          <w:lang w:eastAsia="en-US"/>
        </w:rPr>
        <w:fldChar w:fldCharType="begin"/>
      </w:r>
      <w:r w:rsidR="00BD2143">
        <w:rPr>
          <w:lang w:eastAsia="en-US"/>
        </w:rPr>
        <w:instrText xml:space="preserve"> REF  _Ref10968097 \h \r \t </w:instrText>
      </w:r>
      <w:r w:rsidR="00BD2143">
        <w:rPr>
          <w:lang w:eastAsia="en-US"/>
        </w:rPr>
      </w:r>
      <w:r w:rsidR="00BD2143">
        <w:rPr>
          <w:lang w:eastAsia="en-US"/>
        </w:rPr>
        <w:fldChar w:fldCharType="separate"/>
      </w:r>
      <w:r w:rsidR="00357608">
        <w:rPr>
          <w:lang w:eastAsia="en-US"/>
        </w:rPr>
        <w:t>1.1-</w:t>
      </w:r>
      <w:r w:rsidR="00BD2143">
        <w:rPr>
          <w:lang w:eastAsia="en-US"/>
        </w:rPr>
        <w:fldChar w:fldCharType="end"/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357608">
        <w:rPr>
          <w:b/>
          <w:bCs/>
          <w:lang w:eastAsia="en-US"/>
        </w:rPr>
        <w:t>Ошибка! Источник ссылки не найден.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5234F6" w:rsidRDefault="005234F6" w:rsidP="00E35688">
      <w:pPr>
        <w:pStyle w:val="a4"/>
        <w:rPr>
          <w:lang w:eastAsia="en-US"/>
        </w:rPr>
      </w:pPr>
    </w:p>
    <w:p w:rsidR="00502CA1" w:rsidRDefault="007E3A62" w:rsidP="005234F6">
      <w:pPr>
        <w:pStyle w:val="a4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3EBB794C" wp14:editId="39291C6C">
            <wp:extent cx="6400202" cy="4429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3" t="17029" r="8979" b="9053"/>
                    <a:stretch/>
                  </pic:blipFill>
                  <pic:spPr bwMode="auto">
                    <a:xfrm>
                      <a:off x="0" y="0"/>
                      <a:ext cx="6399541" cy="4428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CA1" w:rsidRDefault="00502CA1" w:rsidP="00502CA1">
      <w:pPr>
        <w:pStyle w:val="a2"/>
      </w:pPr>
      <w:bookmarkStart w:id="5" w:name="_Ref10968097"/>
      <w:r w:rsidRPr="00502CA1">
        <w:t>Графическая структура управления Пенсионного фонда</w:t>
      </w:r>
      <w:bookmarkEnd w:id="5"/>
      <w:r w:rsidRPr="00502CA1">
        <w:t xml:space="preserve"> </w:t>
      </w:r>
    </w:p>
    <w:p w:rsidR="00502CA1" w:rsidRDefault="00502CA1" w:rsidP="005234F6">
      <w:pPr>
        <w:pStyle w:val="a4"/>
      </w:pPr>
    </w:p>
    <w:p w:rsidR="005234F6" w:rsidRDefault="005234F6" w:rsidP="005234F6">
      <w:pPr>
        <w:pStyle w:val="a4"/>
        <w:rPr>
          <w:lang w:eastAsia="en-US"/>
        </w:rPr>
      </w:pPr>
    </w:p>
    <w:p w:rsidR="005234F6" w:rsidRDefault="005234F6" w:rsidP="005234F6">
      <w:pPr>
        <w:pStyle w:val="a4"/>
        <w:rPr>
          <w:lang w:eastAsia="en-US"/>
        </w:rPr>
      </w:pPr>
    </w:p>
    <w:p w:rsidR="00E35688" w:rsidRDefault="00E35688" w:rsidP="00502CA1">
      <w:pPr>
        <w:pStyle w:val="a4"/>
      </w:pPr>
      <w:r>
        <w:t>Организационная  структура управления Пенсионного фонда.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lastRenderedPageBreak/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</w:t>
      </w:r>
      <w:r>
        <w:rPr>
          <w:lang w:eastAsia="en-US"/>
        </w:rPr>
        <w:lastRenderedPageBreak/>
        <w:t>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Pr="00417108" w:rsidRDefault="00417108" w:rsidP="00417108">
      <w:pPr>
        <w:pStyle w:val="1"/>
      </w:pPr>
      <w:bookmarkStart w:id="6" w:name="_Toc10968225"/>
      <w:r w:rsidRPr="00417108">
        <w:lastRenderedPageBreak/>
        <w:t>АНАЛИЗ СИСТЕМЫ УПРАВЛЕНИЯ ПЕРСОНАЛОМ В УПРАВЛЕНИИ ПЕНСИОННОГО ФОНДА</w:t>
      </w:r>
      <w:bookmarkEnd w:id="6"/>
    </w:p>
    <w:p w:rsidR="00BE46D1" w:rsidRDefault="00BE46D1" w:rsidP="0009335D">
      <w:pPr>
        <w:pStyle w:val="20"/>
        <w:rPr>
          <w:lang w:eastAsia="en-US"/>
        </w:rPr>
      </w:pPr>
      <w:bookmarkStart w:id="7" w:name="_Toc10968226"/>
      <w:r>
        <w:rPr>
          <w:lang w:eastAsia="en-US"/>
        </w:rPr>
        <w:t>Состав и структура кадров организации</w:t>
      </w:r>
      <w:bookmarkEnd w:id="7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r w:rsidR="00817C41">
        <w:rPr>
          <w:lang w:eastAsia="en-US"/>
        </w:rPr>
        <w:t>должности</w:t>
      </w:r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№</w:t>
            </w:r>
          </w:p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proofErr w:type="gramStart"/>
            <w:r w:rsidRPr="00202A2F">
              <w:rPr>
                <w:sz w:val="28"/>
                <w:szCs w:val="28"/>
                <w:lang w:eastAsia="en-US"/>
              </w:rPr>
              <w:t>п</w:t>
            </w:r>
            <w:proofErr w:type="gramEnd"/>
            <w:r w:rsidRPr="00202A2F"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5818" w:type="dxa"/>
            <w:vAlign w:val="center"/>
          </w:tcPr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Количество</w:t>
            </w:r>
          </w:p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штатных</w:t>
            </w:r>
          </w:p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202A2F" w:rsidRDefault="006933A2" w:rsidP="00B52C41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персонифицированного учета застрахованных лиц, поступления и контрольно</w:t>
            </w:r>
            <w:r w:rsidR="004E703B" w:rsidRPr="00202A2F">
              <w:rPr>
                <w:sz w:val="28"/>
                <w:szCs w:val="28"/>
              </w:rPr>
              <w:t>-</w:t>
            </w:r>
            <w:r w:rsidRPr="00202A2F">
              <w:rPr>
                <w:sz w:val="28"/>
                <w:szCs w:val="28"/>
              </w:rPr>
              <w:t>проверочной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Всего штатных единиц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AD335B9" wp14:editId="03C0CA3C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4E2E" w:rsidRDefault="00DA4E2E" w:rsidP="00357608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357608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202A2F" w:rsidRDefault="00202A2F" w:rsidP="004E703B">
      <w:pPr>
        <w:pStyle w:val="a4"/>
        <w:rPr>
          <w:lang w:eastAsia="en-US"/>
        </w:rPr>
      </w:pPr>
    </w:p>
    <w:p w:rsidR="003A4986" w:rsidRDefault="003A4986" w:rsidP="00AA56D7">
      <w:pPr>
        <w:pStyle w:val="a1"/>
        <w:rPr>
          <w:lang w:eastAsia="en-US"/>
        </w:rPr>
      </w:pPr>
      <w:bookmarkStart w:id="8" w:name="_Ref10648149"/>
      <w:r>
        <w:t>Распределение сотрудников Пенсионного фонда по возрасту</w:t>
      </w:r>
      <w:bookmarkEnd w:id="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</w:p>
        </w:tc>
        <w:tc>
          <w:tcPr>
            <w:tcW w:w="1357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61B12FA" wp14:editId="27B3B69F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471B546" wp14:editId="09440B29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</w:t>
      </w:r>
      <w:r w:rsidR="00357608">
        <w:t>ному составу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 xml:space="preserve">Основные причины увольнений сотрудников за предыдущие годы указаны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357608">
        <w:t>2.5-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357608">
        <w:t>2.5-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 </w:t>
      </w:r>
      <w:r>
        <w:lastRenderedPageBreak/>
        <w:t>уход с должности менее напряженной работой на другом месте с приблизительно такой же зарплатой.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26CD760" wp14:editId="748F292E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332BC977" wp14:editId="31DCA888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9" w:name="_Ref10658841"/>
      <w:r w:rsidRPr="007A202A">
        <w:t>Анализ причин увольнения</w:t>
      </w:r>
      <w:bookmarkEnd w:id="9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357608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0" w:name="_Ref10730587"/>
      <w:r>
        <w:t>Движение персонала на предприятии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Год</w:t>
            </w:r>
          </w:p>
        </w:tc>
        <w:tc>
          <w:tcPr>
            <w:tcW w:w="2499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Принято</w:t>
            </w:r>
          </w:p>
        </w:tc>
        <w:tc>
          <w:tcPr>
            <w:tcW w:w="2497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Уволено</w:t>
            </w:r>
          </w:p>
        </w:tc>
        <w:tc>
          <w:tcPr>
            <w:tcW w:w="2209" w:type="dxa"/>
            <w:vAlign w:val="center"/>
          </w:tcPr>
          <w:p w:rsidR="00057669" w:rsidRPr="00240699" w:rsidRDefault="00057669" w:rsidP="00057669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Средняя численность работников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2015</w:t>
            </w:r>
          </w:p>
        </w:tc>
        <w:tc>
          <w:tcPr>
            <w:tcW w:w="249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31</w:t>
            </w:r>
          </w:p>
        </w:tc>
        <w:tc>
          <w:tcPr>
            <w:tcW w:w="2497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5</w:t>
            </w:r>
          </w:p>
        </w:tc>
        <w:tc>
          <w:tcPr>
            <w:tcW w:w="220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100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2016</w:t>
            </w:r>
          </w:p>
        </w:tc>
        <w:tc>
          <w:tcPr>
            <w:tcW w:w="249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</w:t>
            </w:r>
          </w:p>
        </w:tc>
        <w:tc>
          <w:tcPr>
            <w:tcW w:w="2497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3</w:t>
            </w:r>
          </w:p>
        </w:tc>
        <w:tc>
          <w:tcPr>
            <w:tcW w:w="220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92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2017</w:t>
            </w:r>
          </w:p>
        </w:tc>
        <w:tc>
          <w:tcPr>
            <w:tcW w:w="249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12</w:t>
            </w:r>
          </w:p>
        </w:tc>
        <w:tc>
          <w:tcPr>
            <w:tcW w:w="2497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</w:t>
            </w:r>
          </w:p>
        </w:tc>
        <w:tc>
          <w:tcPr>
            <w:tcW w:w="220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85</w:t>
            </w:r>
          </w:p>
        </w:tc>
      </w:tr>
      <w:tr w:rsidR="00D97323" w:rsidTr="00057669">
        <w:tc>
          <w:tcPr>
            <w:tcW w:w="2366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2018</w:t>
            </w:r>
          </w:p>
        </w:tc>
        <w:tc>
          <w:tcPr>
            <w:tcW w:w="249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9</w:t>
            </w:r>
          </w:p>
        </w:tc>
        <w:tc>
          <w:tcPr>
            <w:tcW w:w="2497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21</w:t>
            </w:r>
          </w:p>
        </w:tc>
        <w:tc>
          <w:tcPr>
            <w:tcW w:w="2209" w:type="dxa"/>
          </w:tcPr>
          <w:p w:rsidR="00D97323" w:rsidRPr="00240699" w:rsidRDefault="00D97323" w:rsidP="003750BE">
            <w:pPr>
              <w:pStyle w:val="af3"/>
              <w:rPr>
                <w:sz w:val="28"/>
                <w:szCs w:val="28"/>
              </w:rPr>
            </w:pPr>
            <w:r w:rsidRPr="00240699">
              <w:rPr>
                <w:sz w:val="28"/>
                <w:szCs w:val="28"/>
              </w:rP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FC546A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FC546A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FC546A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FC546A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F265F0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FC546A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577ABF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C02288" w:rsidRDefault="00C02288" w:rsidP="00C02288">
      <w:pPr>
        <w:pStyle w:val="a4"/>
      </w:pPr>
      <w:r>
        <w:t>Текучесть</w:t>
      </w:r>
      <w:r w:rsidRPr="009C4D6D">
        <w:t xml:space="preserve"> кадров</w:t>
      </w:r>
      <w:proofErr w:type="gramStart"/>
      <w:r w:rsidRPr="009C4D6D">
        <w:t>.</w:t>
      </w:r>
      <w:proofErr w:type="gramEnd"/>
      <w:r w:rsidRPr="009C4D6D">
        <w:t xml:space="preserve"> </w:t>
      </w:r>
      <w:r>
        <w:t xml:space="preserve">- </w:t>
      </w:r>
      <w:proofErr w:type="gramStart"/>
      <w:r>
        <w:t>п</w:t>
      </w:r>
      <w:proofErr w:type="gramEnd"/>
      <w:r w:rsidRPr="009C4D6D">
        <w:t>оказатель, демонстрирующий, насколько долго работник о</w:t>
      </w:r>
      <w:r>
        <w:t>стаётся на своём рабочем месте</w:t>
      </w:r>
      <w:r w:rsidRPr="009C4D6D">
        <w:t xml:space="preserve">. Высокий коэффициент текучести кадров означает потерю стабильности для </w:t>
      </w:r>
      <w:r>
        <w:t>организации</w:t>
      </w:r>
      <w:r w:rsidRPr="009C4D6D">
        <w:t>.</w:t>
      </w:r>
    </w:p>
    <w:p w:rsidR="00C02288" w:rsidRDefault="00C02288" w:rsidP="00C02288">
      <w:pPr>
        <w:pStyle w:val="a4"/>
      </w:pPr>
      <w:r>
        <w:t xml:space="preserve">Рассчитаем текучесть кадров за отчетный </w:t>
      </w:r>
      <w:r w:rsidRPr="009C4D6D">
        <w:t>период. Формула расчета показателя:</w:t>
      </w:r>
    </w:p>
    <w:p w:rsidR="00C02288" w:rsidRDefault="00C02288" w:rsidP="00C0228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02288" w:rsidTr="003750BE">
        <w:tc>
          <w:tcPr>
            <w:tcW w:w="8613" w:type="dxa"/>
          </w:tcPr>
          <w:p w:rsidR="00C02288" w:rsidRPr="00D61D8E" w:rsidRDefault="00C02288" w:rsidP="003750B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02288" w:rsidRDefault="00C02288" w:rsidP="003750BE">
            <w:pPr>
              <w:pStyle w:val="a0"/>
            </w:pPr>
          </w:p>
        </w:tc>
      </w:tr>
    </w:tbl>
    <w:p w:rsidR="00C02288" w:rsidRDefault="00C02288" w:rsidP="00C02288">
      <w:pPr>
        <w:pStyle w:val="a4"/>
      </w:pPr>
    </w:p>
    <w:p w:rsidR="00C02288" w:rsidRDefault="00C02288" w:rsidP="00C02288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C02288" w:rsidRDefault="00C02288" w:rsidP="00C0228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C02288" w:rsidRDefault="00C02288" w:rsidP="00C0228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807"/>
        <w:gridCol w:w="1507"/>
        <w:gridCol w:w="1508"/>
        <w:gridCol w:w="1508"/>
        <w:gridCol w:w="1508"/>
        <w:gridCol w:w="1509"/>
        <w:gridCol w:w="1506"/>
      </w:tblGrid>
      <w:tr w:rsidR="00C02288" w:rsidTr="00C02288">
        <w:trPr>
          <w:jc w:val="center"/>
        </w:trPr>
        <w:tc>
          <w:tcPr>
            <w:tcW w:w="410" w:type="pct"/>
            <w:vMerge w:val="restart"/>
            <w:vAlign w:val="center"/>
          </w:tcPr>
          <w:p w:rsidR="00C02288" w:rsidRPr="00436B15" w:rsidRDefault="00C02288" w:rsidP="0084577B">
            <w:pPr>
              <w:pStyle w:val="a4"/>
              <w:ind w:firstLine="0"/>
              <w:jc w:val="center"/>
            </w:pPr>
            <w:r w:rsidRPr="00436B15">
              <w:t>Год</w:t>
            </w:r>
          </w:p>
        </w:tc>
        <w:tc>
          <w:tcPr>
            <w:tcW w:w="4590" w:type="pct"/>
            <w:gridSpan w:val="6"/>
            <w:vAlign w:val="center"/>
          </w:tcPr>
          <w:p w:rsidR="00C02288" w:rsidRPr="00436B15" w:rsidRDefault="00C02288" w:rsidP="0084577B">
            <w:pPr>
              <w:pStyle w:val="a4"/>
              <w:ind w:firstLine="0"/>
              <w:jc w:val="center"/>
            </w:pPr>
            <w:r w:rsidRPr="00436B15">
              <w:t>Коэффициент</w:t>
            </w:r>
          </w:p>
        </w:tc>
      </w:tr>
      <w:tr w:rsidR="00C02288" w:rsidTr="00C02288">
        <w:trPr>
          <w:jc w:val="center"/>
        </w:trPr>
        <w:tc>
          <w:tcPr>
            <w:tcW w:w="410" w:type="pct"/>
            <w:vMerge/>
            <w:vAlign w:val="center"/>
          </w:tcPr>
          <w:p w:rsidR="00C02288" w:rsidRDefault="00C02288" w:rsidP="0084577B">
            <w:pPr>
              <w:pStyle w:val="a4"/>
              <w:ind w:firstLine="0"/>
              <w:jc w:val="center"/>
            </w:pPr>
          </w:p>
        </w:tc>
        <w:tc>
          <w:tcPr>
            <w:tcW w:w="765" w:type="pct"/>
            <w:vAlign w:val="center"/>
          </w:tcPr>
          <w:p w:rsidR="00C02288" w:rsidRPr="00436B15" w:rsidRDefault="00C02288" w:rsidP="003750BE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C02288" w:rsidP="003750BE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C02288" w:rsidP="003750BE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765" w:type="pct"/>
            <w:vAlign w:val="center"/>
          </w:tcPr>
          <w:p w:rsidR="00C02288" w:rsidRPr="00436B15" w:rsidRDefault="00C02288" w:rsidP="003750BE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766" w:type="pct"/>
            <w:vAlign w:val="center"/>
          </w:tcPr>
          <w:p w:rsidR="00C02288" w:rsidRPr="00436B15" w:rsidRDefault="00C02288" w:rsidP="003750BE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  <w:tc>
          <w:tcPr>
            <w:tcW w:w="764" w:type="pct"/>
          </w:tcPr>
          <w:p w:rsidR="00C02288" w:rsidRPr="00436B15" w:rsidRDefault="00C02288" w:rsidP="003750BE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</w:tr>
      <w:tr w:rsidR="00C02288" w:rsidTr="00F07A31">
        <w:trPr>
          <w:trHeight w:val="393"/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0.70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5.00</w:t>
            </w:r>
          </w:p>
        </w:tc>
      </w:tr>
      <w:tr w:rsidR="00C02288" w:rsidTr="00F07A31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0.22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0.90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3.26</w:t>
            </w:r>
          </w:p>
        </w:tc>
      </w:tr>
      <w:tr w:rsidR="00C02288" w:rsidTr="00F07A31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0.24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</w:t>
            </w:r>
          </w:p>
        </w:tc>
        <w:tc>
          <w:tcPr>
            <w:tcW w:w="765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</w:t>
            </w:r>
          </w:p>
        </w:tc>
        <w:tc>
          <w:tcPr>
            <w:tcW w:w="766" w:type="pct"/>
            <w:vAlign w:val="center"/>
          </w:tcPr>
          <w:p w:rsidR="00C02288" w:rsidRPr="00436B15" w:rsidRDefault="00C02288" w:rsidP="00436B15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9.41</w:t>
            </w:r>
          </w:p>
        </w:tc>
      </w:tr>
      <w:tr w:rsidR="00C02288" w:rsidTr="00F07A31">
        <w:trPr>
          <w:jc w:val="center"/>
        </w:trPr>
        <w:tc>
          <w:tcPr>
            <w:tcW w:w="410" w:type="pct"/>
            <w:vAlign w:val="center"/>
          </w:tcPr>
          <w:p w:rsidR="00C02288" w:rsidRPr="00436B15" w:rsidRDefault="00C02288" w:rsidP="00436B1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0.38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0.26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0.11</w:t>
            </w:r>
          </w:p>
        </w:tc>
        <w:tc>
          <w:tcPr>
            <w:tcW w:w="765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0.20</w:t>
            </w:r>
          </w:p>
        </w:tc>
        <w:tc>
          <w:tcPr>
            <w:tcW w:w="766" w:type="pct"/>
            <w:vAlign w:val="bottom"/>
          </w:tcPr>
          <w:p w:rsidR="00C02288" w:rsidRPr="00436B15" w:rsidRDefault="00C0228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36B15">
              <w:rPr>
                <w:rFonts w:ascii="Times New Roman" w:hAnsi="Times New Roman" w:cs="Times New Roman"/>
                <w:color w:val="000000"/>
                <w:sz w:val="28"/>
              </w:rPr>
              <w:t>0.79</w:t>
            </w:r>
          </w:p>
        </w:tc>
        <w:tc>
          <w:tcPr>
            <w:tcW w:w="764" w:type="pct"/>
            <w:vAlign w:val="bottom"/>
          </w:tcPr>
          <w:p w:rsidR="00C02288" w:rsidRDefault="00C0228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26.25</w:t>
            </w:r>
          </w:p>
        </w:tc>
      </w:tr>
    </w:tbl>
    <w:p w:rsidR="00D61D8E" w:rsidRDefault="00D61D8E" w:rsidP="001938E8">
      <w:pPr>
        <w:pStyle w:val="a4"/>
      </w:pPr>
    </w:p>
    <w:p w:rsidR="00BC3C8B" w:rsidRPr="00BC3C8B" w:rsidRDefault="00CB533A" w:rsidP="009C4D6D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BC3C8B" w:rsidRDefault="00BC3C8B" w:rsidP="009C4D6D">
      <w:pPr>
        <w:pStyle w:val="a4"/>
      </w:pPr>
      <w:r>
        <w:lastRenderedPageBreak/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357608">
        <w:t>2.5</w:t>
      </w:r>
      <w:r>
        <w:fldChar w:fldCharType="end"/>
      </w:r>
    </w:p>
    <w:p w:rsidR="005B1A51" w:rsidRDefault="005B1A51" w:rsidP="009C4D6D">
      <w:pPr>
        <w:pStyle w:val="a4"/>
      </w:pPr>
    </w:p>
    <w:p w:rsidR="005B1A51" w:rsidRDefault="005B1A51" w:rsidP="005B1A51">
      <w:pPr>
        <w:pStyle w:val="a1"/>
      </w:pPr>
      <w:bookmarkStart w:id="11" w:name="_Ref10741466"/>
      <w:r>
        <w:t>П</w:t>
      </w:r>
      <w:r w:rsidRPr="00BC3C8B">
        <w:t>ричины текучести кадров и способы их устранения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B1A51" w:rsidTr="003750BE">
        <w:tc>
          <w:tcPr>
            <w:tcW w:w="4926" w:type="dxa"/>
          </w:tcPr>
          <w:p w:rsidR="005B1A51" w:rsidRPr="00C04E33" w:rsidRDefault="005B1A51" w:rsidP="003750BE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Причины текучести кадров</w:t>
            </w:r>
          </w:p>
        </w:tc>
        <w:tc>
          <w:tcPr>
            <w:tcW w:w="4927" w:type="dxa"/>
          </w:tcPr>
          <w:p w:rsidR="005B1A51" w:rsidRPr="00C04E33" w:rsidRDefault="005B1A51" w:rsidP="003750BE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Способы устранения текучести кадров</w:t>
            </w:r>
          </w:p>
        </w:tc>
      </w:tr>
      <w:tr w:rsidR="005B1A51" w:rsidTr="003750BE">
        <w:tc>
          <w:tcPr>
            <w:tcW w:w="4926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5B1A51" w:rsidTr="003750BE">
        <w:tc>
          <w:tcPr>
            <w:tcW w:w="4926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3750BE">
            <w:pPr>
              <w:jc w:val="both"/>
              <w:rPr>
                <w:sz w:val="28"/>
                <w:szCs w:val="28"/>
              </w:rPr>
            </w:pPr>
            <w:r w:rsidRPr="00C04E33">
              <w:rPr>
                <w:rFonts w:ascii="Times New Roman" w:hAnsi="Times New Roman" w:cs="Times New Roman"/>
                <w:sz w:val="28"/>
                <w:szCs w:val="28"/>
              </w:rPr>
              <w:t>Провести анализ, выявить и устранить причины нестабильности.</w:t>
            </w:r>
          </w:p>
        </w:tc>
      </w:tr>
      <w:tr w:rsidR="005B1A51" w:rsidTr="003750BE">
        <w:tc>
          <w:tcPr>
            <w:tcW w:w="4926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Разработка мер по улучшению условий труда</w:t>
            </w:r>
          </w:p>
        </w:tc>
      </w:tr>
      <w:tr w:rsidR="005B1A51" w:rsidTr="003750BE">
        <w:tc>
          <w:tcPr>
            <w:tcW w:w="4926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Пересмотреть политику организации</w:t>
            </w:r>
          </w:p>
        </w:tc>
      </w:tr>
      <w:tr w:rsidR="005B1A51" w:rsidTr="003750BE">
        <w:tc>
          <w:tcPr>
            <w:tcW w:w="4926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Предоставление работы в соответствии с занимаемой должностью</w:t>
            </w:r>
          </w:p>
        </w:tc>
      </w:tr>
      <w:tr w:rsidR="005B1A51" w:rsidTr="003750BE">
        <w:tc>
          <w:tcPr>
            <w:tcW w:w="4926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График работы</w:t>
            </w:r>
          </w:p>
        </w:tc>
        <w:tc>
          <w:tcPr>
            <w:tcW w:w="4927" w:type="dxa"/>
            <w:vAlign w:val="center"/>
          </w:tcPr>
          <w:p w:rsidR="005B1A51" w:rsidRPr="00C04E33" w:rsidRDefault="005B1A51" w:rsidP="003750BE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5B1A51" w:rsidRDefault="005B1A51" w:rsidP="009C4D6D">
      <w:pPr>
        <w:pStyle w:val="a4"/>
      </w:pPr>
    </w:p>
    <w:p w:rsidR="002667B6" w:rsidRDefault="002667B6" w:rsidP="002667B6">
      <w:pPr>
        <w:pStyle w:val="a4"/>
      </w:pPr>
      <w:r w:rsidRPr="00BC3C8B"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</w:t>
      </w:r>
      <w:r w:rsidRPr="002667B6">
        <w:t xml:space="preserve"> </w:t>
      </w:r>
      <w:r w:rsidRPr="00BC3C8B">
        <w:t>Развитие персонала требует вложения средств и предполагает повышение конкурентоспособности работников и, следовательно, организации в целом.</w:t>
      </w:r>
      <w:r w:rsidRPr="002667B6">
        <w:t xml:space="preserve"> </w:t>
      </w:r>
      <w:r w:rsidRPr="00BC3C8B">
        <w:t>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</w:t>
      </w:r>
      <w:r w:rsidRPr="002667B6">
        <w:t xml:space="preserve"> </w:t>
      </w:r>
      <w:r w:rsidRPr="00BC3C8B">
        <w:t>достигнуты цели, поставленные руководством, при принятии решения о</w:t>
      </w:r>
      <w:r w:rsidR="005B1A51">
        <w:t xml:space="preserve"> </w:t>
      </w:r>
      <w:r w:rsidRPr="00BC3C8B">
        <w:t xml:space="preserve">развитии кадрового потенциала, необходимо тщательно контролировать процесс обучения. Чтобы процесс обучения персонала не стал пустой тратой </w:t>
      </w:r>
      <w:r w:rsidRPr="00BC3C8B">
        <w:lastRenderedPageBreak/>
        <w:t>сил, времени и денег, обучение сотрудника должно происходить в течение всего срока его производственной деятельности в организации.</w:t>
      </w:r>
      <w:bookmarkStart w:id="12" w:name="_GoBack"/>
      <w:bookmarkEnd w:id="12"/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357608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5B1A51" w:rsidRDefault="005B1A51" w:rsidP="005B1A51">
      <w:pPr>
        <w:pStyle w:val="a1"/>
      </w:pPr>
      <w:bookmarkStart w:id="13" w:name="_Ref10737671"/>
      <w:r>
        <w:t xml:space="preserve">Количество документов обработанных за два периода отделом </w:t>
      </w:r>
      <w:r w:rsidRPr="002E3DE5">
        <w:t>обеспечения деятельности управления и организационно-кадровой работы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316"/>
        <w:gridCol w:w="1971"/>
        <w:gridCol w:w="2316"/>
      </w:tblGrid>
      <w:tr w:rsidR="005B1A51" w:rsidTr="003750BE">
        <w:trPr>
          <w:jc w:val="center"/>
        </w:trPr>
        <w:tc>
          <w:tcPr>
            <w:tcW w:w="3940" w:type="dxa"/>
            <w:gridSpan w:val="2"/>
          </w:tcPr>
          <w:p w:rsidR="005B1A51" w:rsidRPr="00696361" w:rsidRDefault="005B1A51" w:rsidP="003750BE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5B1A51" w:rsidRPr="00696361" w:rsidRDefault="005B1A51" w:rsidP="003750BE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Отчетный период</w:t>
            </w:r>
          </w:p>
        </w:tc>
      </w:tr>
      <w:tr w:rsidR="005B1A51" w:rsidTr="003750BE">
        <w:trPr>
          <w:jc w:val="center"/>
        </w:trPr>
        <w:tc>
          <w:tcPr>
            <w:tcW w:w="1969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</w:tr>
      <w:tr w:rsidR="005B1A51" w:rsidTr="003750BE">
        <w:trPr>
          <w:jc w:val="center"/>
        </w:trPr>
        <w:tc>
          <w:tcPr>
            <w:tcW w:w="1969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10 000</w:t>
            </w:r>
          </w:p>
        </w:tc>
        <w:tc>
          <w:tcPr>
            <w:tcW w:w="1971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4</w:t>
            </w:r>
          </w:p>
        </w:tc>
        <w:tc>
          <w:tcPr>
            <w:tcW w:w="1971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12 600</w:t>
            </w:r>
          </w:p>
        </w:tc>
        <w:tc>
          <w:tcPr>
            <w:tcW w:w="1971" w:type="dxa"/>
          </w:tcPr>
          <w:p w:rsidR="005B1A51" w:rsidRPr="00696361" w:rsidRDefault="005B1A51" w:rsidP="003750BE">
            <w:pPr>
              <w:pStyle w:val="af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:rsidR="005B1A51" w:rsidRDefault="005B1A51" w:rsidP="005B1A51">
      <w:pPr>
        <w:pStyle w:val="a4"/>
      </w:pPr>
    </w:p>
    <w:p w:rsidR="00696361" w:rsidRDefault="00696361" w:rsidP="00B133B9">
      <w:pPr>
        <w:pStyle w:val="a4"/>
      </w:pPr>
    </w:p>
    <w:bookmarkEnd w:id="13"/>
    <w:p w:rsidR="00D61D8E" w:rsidRDefault="00E66A3B" w:rsidP="001938E8">
      <w:pPr>
        <w:pStyle w:val="a4"/>
      </w:pPr>
      <w:r w:rsidRPr="00E66A3B">
        <w:t>Средняя годовая выработка</w:t>
      </w:r>
      <w:r>
        <w:t xml:space="preserve"> в предыдущем периоде равна:</w:t>
      </w:r>
    </w:p>
    <w:p w:rsidR="003140AF" w:rsidRDefault="003140AF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140AF" w:rsidTr="00D61D8E">
        <w:tc>
          <w:tcPr>
            <w:tcW w:w="8613" w:type="dxa"/>
          </w:tcPr>
          <w:p w:rsidR="003140AF" w:rsidRPr="00D61D8E" w:rsidRDefault="00FC546A" w:rsidP="00D61D8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140AF" w:rsidRDefault="003140AF" w:rsidP="00D61D8E">
            <w:pPr>
              <w:pStyle w:val="a0"/>
            </w:pPr>
          </w:p>
        </w:tc>
      </w:tr>
    </w:tbl>
    <w:p w:rsidR="000D73FA" w:rsidRDefault="000D73FA" w:rsidP="001938E8">
      <w:pPr>
        <w:pStyle w:val="a4"/>
      </w:pPr>
    </w:p>
    <w:p w:rsidR="00413EA3" w:rsidRDefault="00FC546A" w:rsidP="00413EA3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=2500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B080F" w:rsidRDefault="00DB080F" w:rsidP="00413EA3">
      <w:pPr>
        <w:pStyle w:val="a4"/>
      </w:pPr>
    </w:p>
    <w:p w:rsidR="00E66A3B" w:rsidRDefault="00E66A3B" w:rsidP="00413EA3">
      <w:pPr>
        <w:pStyle w:val="a4"/>
      </w:pPr>
      <w:r w:rsidRPr="00413EA3">
        <w:t>Для текущего периода:</w:t>
      </w:r>
    </w:p>
    <w:p w:rsidR="000D73FA" w:rsidRDefault="000D73FA" w:rsidP="001938E8">
      <w:pPr>
        <w:pStyle w:val="a4"/>
      </w:pPr>
    </w:p>
    <w:p w:rsidR="00E66A3B" w:rsidRDefault="00FC546A" w:rsidP="001938E8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=3150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73FA" w:rsidRDefault="000D73FA" w:rsidP="001938E8">
      <w:pPr>
        <w:pStyle w:val="a4"/>
      </w:pPr>
    </w:p>
    <w:p w:rsidR="00696361" w:rsidRDefault="00696361" w:rsidP="001938E8">
      <w:pPr>
        <w:pStyle w:val="a4"/>
      </w:pPr>
      <w:r>
        <w:t xml:space="preserve">Сравнивая два периода видим, что среднегодовая выработка возросла на 0.8% </w:t>
      </w:r>
    </w:p>
    <w:p w:rsidR="00696361" w:rsidRDefault="00696361" w:rsidP="001938E8">
      <w:pPr>
        <w:pStyle w:val="a4"/>
      </w:pP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Цена ответственного поведения работника, зависящая от уровня его квалификации и интеллекта, эмоциональной зрелости и психического состояния возрастает при этом во много раз</w:t>
      </w:r>
      <w:r w:rsidR="000D73FA">
        <w:t xml:space="preserve"> выше</w:t>
      </w:r>
      <w:r w:rsidRPr="00FA3450">
        <w:t>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600E29" w:rsidRDefault="00600E29" w:rsidP="001938E8">
      <w:pPr>
        <w:pStyle w:val="a4"/>
      </w:pPr>
      <w:r w:rsidRPr="00600E29">
        <w:t xml:space="preserve">В современных условиях главное внутри предприятия - это кадры, а за его пределами - потребители выпускаемой продукции (оказываемых услуг). Через эффективно действующую систему управления кадрами необходимо повернуть сознание каждого наемного работника к потребителю, а не к начальнику; к конечному результату деятельности предприятия, а не к расточительству; к инициативному высококвалифицированному производительному работнику, а не к бездумно-безликому исполнителю. Любые изменения на рынке товаров или рабочей силы должны находить </w:t>
      </w:r>
      <w:r w:rsidRPr="00600E29">
        <w:lastRenderedPageBreak/>
        <w:t>незамедлительное отражение в процессах формирования кадров предприятия и их использования.</w:t>
      </w:r>
    </w:p>
    <w:p w:rsidR="00600E29" w:rsidRDefault="00600E29" w:rsidP="001938E8">
      <w:pPr>
        <w:pStyle w:val="a4"/>
      </w:pPr>
      <w:r w:rsidRPr="00600E29">
        <w:t>Социально-демографическая обстановка характеризует состав и структуру, а также формы и интенсивность движения кадров предприятия как внутри него, так и за его пределами. Для предприятия весьма актуально сохранение, развитие и максимально эффективное использование уже имеющихся кадров и обеспечение притока молодых, инициативных и высококвалифицированных "свежих" сил из имеющихся трудовых ресурсов.</w:t>
      </w:r>
    </w:p>
    <w:p w:rsidR="0027543A" w:rsidRDefault="0027543A" w:rsidP="001938E8">
      <w:pPr>
        <w:pStyle w:val="a4"/>
      </w:pPr>
      <w:proofErr w:type="gramStart"/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  <w:proofErr w:type="gramEnd"/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968227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потребности предприятия в кадрах;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</w:t>
      </w:r>
      <w:proofErr w:type="gramStart"/>
      <w:r w:rsidR="005058A5">
        <w:rPr>
          <w:lang w:eastAsia="en-US"/>
        </w:rPr>
        <w:t>все</w:t>
      </w:r>
      <w:proofErr w:type="gramEnd"/>
      <w:r w:rsidR="005058A5">
        <w:rPr>
          <w:lang w:eastAsia="en-US"/>
        </w:rPr>
        <w:t xml:space="preserve">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968228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6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7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46A" w:rsidRDefault="00FC546A" w:rsidP="00B547F0">
      <w:pPr>
        <w:spacing w:after="0" w:line="240" w:lineRule="auto"/>
      </w:pPr>
      <w:r>
        <w:separator/>
      </w:r>
    </w:p>
  </w:endnote>
  <w:endnote w:type="continuationSeparator" w:id="0">
    <w:p w:rsidR="00FC546A" w:rsidRDefault="00FC546A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46A" w:rsidRDefault="00FC546A" w:rsidP="00B547F0">
      <w:pPr>
        <w:spacing w:after="0" w:line="240" w:lineRule="auto"/>
      </w:pPr>
      <w:r>
        <w:separator/>
      </w:r>
    </w:p>
  </w:footnote>
  <w:footnote w:type="continuationSeparator" w:id="0">
    <w:p w:rsidR="00FC546A" w:rsidRDefault="00FC546A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D3898" w:rsidRPr="00F74193" w:rsidRDefault="00ED3898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1A51">
          <w:rPr>
            <w:rFonts w:ascii="Times New Roman" w:hAnsi="Times New Roman" w:cs="Times New Roman"/>
            <w:noProof/>
            <w:sz w:val="24"/>
            <w:szCs w:val="24"/>
          </w:rPr>
          <w:t>34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D3898" w:rsidRDefault="00ED389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6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973174"/>
    <w:multiLevelType w:val="multilevel"/>
    <w:tmpl w:val="3BA0DF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 -"/>
      <w:lvlJc w:val="left"/>
      <w:pPr>
        <w:ind w:left="568" w:firstLine="0"/>
      </w:pPr>
      <w:rPr>
        <w:rFonts w:hint="default"/>
      </w:rPr>
    </w:lvl>
  </w:abstractNum>
  <w:abstractNum w:abstractNumId="28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30"/>
  </w:num>
  <w:num w:numId="5">
    <w:abstractNumId w:val="21"/>
  </w:num>
  <w:num w:numId="6">
    <w:abstractNumId w:val="9"/>
  </w:num>
  <w:num w:numId="7">
    <w:abstractNumId w:val="26"/>
  </w:num>
  <w:num w:numId="8">
    <w:abstractNumId w:val="34"/>
  </w:num>
  <w:num w:numId="9">
    <w:abstractNumId w:val="13"/>
  </w:num>
  <w:num w:numId="10">
    <w:abstractNumId w:val="12"/>
  </w:num>
  <w:num w:numId="11">
    <w:abstractNumId w:val="28"/>
  </w:num>
  <w:num w:numId="12">
    <w:abstractNumId w:val="33"/>
  </w:num>
  <w:num w:numId="13">
    <w:abstractNumId w:val="36"/>
  </w:num>
  <w:num w:numId="14">
    <w:abstractNumId w:val="25"/>
  </w:num>
  <w:num w:numId="15">
    <w:abstractNumId w:val="6"/>
  </w:num>
  <w:num w:numId="16">
    <w:abstractNumId w:val="23"/>
  </w:num>
  <w:num w:numId="17">
    <w:abstractNumId w:val="29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2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335D"/>
    <w:rsid w:val="0009574B"/>
    <w:rsid w:val="00095992"/>
    <w:rsid w:val="000B1CB2"/>
    <w:rsid w:val="000D455F"/>
    <w:rsid w:val="000D73FA"/>
    <w:rsid w:val="000F1F75"/>
    <w:rsid w:val="00106335"/>
    <w:rsid w:val="001215C0"/>
    <w:rsid w:val="00122078"/>
    <w:rsid w:val="00123582"/>
    <w:rsid w:val="00123CBC"/>
    <w:rsid w:val="00127296"/>
    <w:rsid w:val="0013139C"/>
    <w:rsid w:val="0014476F"/>
    <w:rsid w:val="001448AE"/>
    <w:rsid w:val="00147F21"/>
    <w:rsid w:val="00152742"/>
    <w:rsid w:val="00154B70"/>
    <w:rsid w:val="00166BEC"/>
    <w:rsid w:val="0017517F"/>
    <w:rsid w:val="00191098"/>
    <w:rsid w:val="001938E8"/>
    <w:rsid w:val="001C4464"/>
    <w:rsid w:val="00200382"/>
    <w:rsid w:val="00202A2F"/>
    <w:rsid w:val="0020668A"/>
    <w:rsid w:val="00210538"/>
    <w:rsid w:val="00216F48"/>
    <w:rsid w:val="00217722"/>
    <w:rsid w:val="0022231F"/>
    <w:rsid w:val="00223547"/>
    <w:rsid w:val="00240699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A57D3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608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3EA3"/>
    <w:rsid w:val="00417108"/>
    <w:rsid w:val="00417300"/>
    <w:rsid w:val="0041791E"/>
    <w:rsid w:val="00436B15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2CA1"/>
    <w:rsid w:val="0050324F"/>
    <w:rsid w:val="005058A5"/>
    <w:rsid w:val="00505CC8"/>
    <w:rsid w:val="0051008A"/>
    <w:rsid w:val="00510B4D"/>
    <w:rsid w:val="00513B92"/>
    <w:rsid w:val="00521EA3"/>
    <w:rsid w:val="005234F6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77ABF"/>
    <w:rsid w:val="005879C5"/>
    <w:rsid w:val="005A2030"/>
    <w:rsid w:val="005A41E9"/>
    <w:rsid w:val="005A437A"/>
    <w:rsid w:val="005A7EA1"/>
    <w:rsid w:val="005B17C8"/>
    <w:rsid w:val="005B1A51"/>
    <w:rsid w:val="005B3AD3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00E29"/>
    <w:rsid w:val="0061234E"/>
    <w:rsid w:val="00612C03"/>
    <w:rsid w:val="00617323"/>
    <w:rsid w:val="0062235F"/>
    <w:rsid w:val="00633FAA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87534"/>
    <w:rsid w:val="006933A2"/>
    <w:rsid w:val="006961B7"/>
    <w:rsid w:val="00696361"/>
    <w:rsid w:val="006A7587"/>
    <w:rsid w:val="006B6E2A"/>
    <w:rsid w:val="006C7936"/>
    <w:rsid w:val="006D5E71"/>
    <w:rsid w:val="006E07FE"/>
    <w:rsid w:val="006E5471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798"/>
    <w:rsid w:val="00791A53"/>
    <w:rsid w:val="00791D23"/>
    <w:rsid w:val="0079287A"/>
    <w:rsid w:val="007A0F67"/>
    <w:rsid w:val="007A202A"/>
    <w:rsid w:val="007A6061"/>
    <w:rsid w:val="007B5B8D"/>
    <w:rsid w:val="007C1E44"/>
    <w:rsid w:val="007D6B57"/>
    <w:rsid w:val="007E3A62"/>
    <w:rsid w:val="007F2260"/>
    <w:rsid w:val="007F44A5"/>
    <w:rsid w:val="00802FDF"/>
    <w:rsid w:val="00803164"/>
    <w:rsid w:val="00807590"/>
    <w:rsid w:val="008128B9"/>
    <w:rsid w:val="00817542"/>
    <w:rsid w:val="00817C41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0440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83E92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1114"/>
    <w:rsid w:val="00AF4313"/>
    <w:rsid w:val="00B057DB"/>
    <w:rsid w:val="00B05E44"/>
    <w:rsid w:val="00B133B9"/>
    <w:rsid w:val="00B2459C"/>
    <w:rsid w:val="00B24F0C"/>
    <w:rsid w:val="00B25B2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EEA"/>
    <w:rsid w:val="00B86F62"/>
    <w:rsid w:val="00B937CB"/>
    <w:rsid w:val="00B94653"/>
    <w:rsid w:val="00BA0084"/>
    <w:rsid w:val="00BA029A"/>
    <w:rsid w:val="00BA381C"/>
    <w:rsid w:val="00BA5D3B"/>
    <w:rsid w:val="00BC17E0"/>
    <w:rsid w:val="00BC3C8B"/>
    <w:rsid w:val="00BC4F29"/>
    <w:rsid w:val="00BC61CD"/>
    <w:rsid w:val="00BD2143"/>
    <w:rsid w:val="00BE3EB7"/>
    <w:rsid w:val="00BE46D1"/>
    <w:rsid w:val="00BF291F"/>
    <w:rsid w:val="00BF7D0D"/>
    <w:rsid w:val="00C02288"/>
    <w:rsid w:val="00C02723"/>
    <w:rsid w:val="00C0281F"/>
    <w:rsid w:val="00C03C41"/>
    <w:rsid w:val="00C04E33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56A2A"/>
    <w:rsid w:val="00D61D8E"/>
    <w:rsid w:val="00D70385"/>
    <w:rsid w:val="00D75F41"/>
    <w:rsid w:val="00D75F86"/>
    <w:rsid w:val="00D906CB"/>
    <w:rsid w:val="00D96AB8"/>
    <w:rsid w:val="00D97323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6480"/>
    <w:rsid w:val="00E87173"/>
    <w:rsid w:val="00E90F42"/>
    <w:rsid w:val="00E940C4"/>
    <w:rsid w:val="00EA2414"/>
    <w:rsid w:val="00EA2D2F"/>
    <w:rsid w:val="00EB1404"/>
    <w:rsid w:val="00EB3FCD"/>
    <w:rsid w:val="00EB5F39"/>
    <w:rsid w:val="00ED279C"/>
    <w:rsid w:val="00ED3898"/>
    <w:rsid w:val="00ED42D2"/>
    <w:rsid w:val="00ED49AF"/>
    <w:rsid w:val="00ED6DD2"/>
    <w:rsid w:val="00EE1232"/>
    <w:rsid w:val="00EE16E9"/>
    <w:rsid w:val="00EF14B4"/>
    <w:rsid w:val="00F00078"/>
    <w:rsid w:val="00F039D3"/>
    <w:rsid w:val="00F0520D"/>
    <w:rsid w:val="00F063D6"/>
    <w:rsid w:val="00F12EC2"/>
    <w:rsid w:val="00F223B9"/>
    <w:rsid w:val="00F24DA0"/>
    <w:rsid w:val="00F265F0"/>
    <w:rsid w:val="00F30C79"/>
    <w:rsid w:val="00F3145C"/>
    <w:rsid w:val="00F36C59"/>
    <w:rsid w:val="00F40BEC"/>
    <w:rsid w:val="00F448B5"/>
    <w:rsid w:val="00F53303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517C"/>
    <w:rsid w:val="00FB6BF7"/>
    <w:rsid w:val="00FC546A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09335D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09335D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09335D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09335D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94653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94653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yperlink" Target="http://econbooks.ru/books/view/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fdnr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3EF4755-2523-43ED-9C1D-26FE6E61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39</Pages>
  <Words>7485</Words>
  <Characters>42666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27</cp:revision>
  <cp:lastPrinted>2019-06-06T19:16:00Z</cp:lastPrinted>
  <dcterms:created xsi:type="dcterms:W3CDTF">2019-06-07T01:10:00Z</dcterms:created>
  <dcterms:modified xsi:type="dcterms:W3CDTF">2019-06-09T07:57:00Z</dcterms:modified>
</cp:coreProperties>
</file>