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2"/>
      </w:pPr>
    </w:p>
    <w:p w:rsidR="0072433C" w:rsidRPr="0072433C" w:rsidRDefault="0072433C" w:rsidP="00B45794">
      <w:pPr>
        <w:pStyle w:val="a2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2"/>
        <w:rPr>
          <w:sz w:val="24"/>
        </w:rPr>
      </w:pPr>
    </w:p>
    <w:p w:rsidR="0072433C" w:rsidRPr="0072433C" w:rsidRDefault="0072433C" w:rsidP="00B45794">
      <w:pPr>
        <w:pStyle w:val="a2"/>
        <w:rPr>
          <w:sz w:val="24"/>
        </w:rPr>
      </w:pPr>
    </w:p>
    <w:p w:rsidR="0072433C" w:rsidRPr="0072433C" w:rsidRDefault="0072433C" w:rsidP="00B45794">
      <w:pPr>
        <w:pStyle w:val="a2"/>
        <w:rPr>
          <w:sz w:val="24"/>
        </w:rPr>
      </w:pPr>
    </w:p>
    <w:p w:rsidR="0072433C" w:rsidRPr="0072433C" w:rsidRDefault="0072433C" w:rsidP="00B45794">
      <w:pPr>
        <w:pStyle w:val="a2"/>
        <w:rPr>
          <w:sz w:val="24"/>
        </w:rPr>
      </w:pPr>
    </w:p>
    <w:p w:rsidR="00B66763" w:rsidRPr="00B66763" w:rsidRDefault="00B66763" w:rsidP="00B45794">
      <w:pPr>
        <w:pStyle w:val="a2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2"/>
        <w:jc w:val="center"/>
      </w:pPr>
      <w:r w:rsidRPr="00B66763">
        <w:t>по дисциплине «</w:t>
      </w:r>
      <w:r w:rsidR="00EF7C96" w:rsidRPr="00EF7C96">
        <w:t>Финансовый учет</w:t>
      </w:r>
      <w:r w:rsidRPr="00B66763">
        <w:t>»</w:t>
      </w:r>
    </w:p>
    <w:p w:rsidR="0072433C" w:rsidRDefault="00B66763" w:rsidP="00B45794">
      <w:pPr>
        <w:pStyle w:val="a2"/>
        <w:jc w:val="center"/>
      </w:pPr>
      <w:r w:rsidRPr="00B66763">
        <w:t xml:space="preserve">Вариант № </w:t>
      </w:r>
      <w:r w:rsidR="00EF7C96">
        <w:t>10</w:t>
      </w:r>
    </w:p>
    <w:p w:rsidR="00B45794" w:rsidRDefault="00B45794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Default="00E62A98" w:rsidP="00B45794">
      <w:pPr>
        <w:pStyle w:val="a2"/>
      </w:pPr>
    </w:p>
    <w:p w:rsidR="00E62A98" w:rsidRPr="0072433C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8D5487" w:rsidP="00B45794">
            <w:pPr>
              <w:pStyle w:val="a2"/>
              <w:spacing w:line="240" w:lineRule="auto"/>
              <w:ind w:firstLine="0"/>
              <w:jc w:val="left"/>
            </w:pPr>
            <w:r>
              <w:t xml:space="preserve"> В.В.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1924DB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4244806" w:history="1">
        <w:r w:rsidR="001924DB" w:rsidRPr="004E32E4">
          <w:rPr>
            <w:rStyle w:val="a9"/>
            <w:noProof/>
            <w:lang w:eastAsia="en-US"/>
          </w:rPr>
          <w:t>1 Класифікація господарських засобів</w:t>
        </w:r>
        <w:r w:rsidR="001924DB">
          <w:rPr>
            <w:noProof/>
            <w:webHidden/>
          </w:rPr>
          <w:tab/>
        </w:r>
        <w:r w:rsidR="001924DB">
          <w:rPr>
            <w:noProof/>
            <w:webHidden/>
          </w:rPr>
          <w:fldChar w:fldCharType="begin"/>
        </w:r>
        <w:r w:rsidR="001924DB">
          <w:rPr>
            <w:noProof/>
            <w:webHidden/>
          </w:rPr>
          <w:instrText xml:space="preserve"> PAGEREF _Toc4244806 \h </w:instrText>
        </w:r>
        <w:r w:rsidR="001924DB">
          <w:rPr>
            <w:noProof/>
            <w:webHidden/>
          </w:rPr>
        </w:r>
        <w:r w:rsidR="001924DB">
          <w:rPr>
            <w:noProof/>
            <w:webHidden/>
          </w:rPr>
          <w:fldChar w:fldCharType="separate"/>
        </w:r>
        <w:r w:rsidR="001924DB">
          <w:rPr>
            <w:noProof/>
            <w:webHidden/>
          </w:rPr>
          <w:t>3</w:t>
        </w:r>
        <w:r w:rsidR="001924DB"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07" w:history="1">
        <w:r w:rsidRPr="004E32E4">
          <w:rPr>
            <w:rStyle w:val="a9"/>
            <w:noProof/>
            <w:lang w:val="uk-UA"/>
          </w:rPr>
          <w:t>2 Вплив господарських операцій на баланс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08" w:history="1">
        <w:r w:rsidRPr="004E32E4">
          <w:rPr>
            <w:rStyle w:val="a9"/>
            <w:noProof/>
            <w:lang w:eastAsia="en-US"/>
          </w:rPr>
          <w:t>3 Відкриття та закриття бухгалтерських рахунків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09" w:history="1">
        <w:r w:rsidRPr="004E32E4">
          <w:rPr>
            <w:rStyle w:val="a9"/>
            <w:noProof/>
            <w:lang w:eastAsia="en-US"/>
          </w:rPr>
          <w:t>4 Побудова оборотної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10" w:history="1">
        <w:r w:rsidRPr="004E32E4">
          <w:rPr>
            <w:rStyle w:val="a9"/>
            <w:noProof/>
            <w:lang w:eastAsia="en-US"/>
          </w:rPr>
          <w:t>5 Побудова шаховою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11" w:history="1">
        <w:r w:rsidRPr="004E32E4">
          <w:rPr>
            <w:rStyle w:val="a9"/>
            <w:noProof/>
            <w:lang w:eastAsia="en-US"/>
          </w:rPr>
          <w:t>6 Побудова бухгалтерського балансу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12" w:history="1">
        <w:r w:rsidRPr="004E32E4">
          <w:rPr>
            <w:rStyle w:val="a9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24DB" w:rsidRDefault="001924DB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244813" w:history="1">
        <w:r w:rsidRPr="004E32E4">
          <w:rPr>
            <w:rStyle w:val="a9"/>
            <w:rFonts w:eastAsiaTheme="majorEastAsia"/>
            <w:noProof/>
          </w:rPr>
          <w:t>Використана література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D5487" w:rsidRPr="008D5487" w:rsidRDefault="008A2E57" w:rsidP="008A2E57">
      <w:pPr>
        <w:pStyle w:val="1"/>
        <w:rPr>
          <w:lang w:eastAsia="en-US"/>
        </w:rPr>
      </w:pPr>
      <w:bookmarkStart w:id="0" w:name="_Toc4244806"/>
      <w:r w:rsidRPr="008A2E57">
        <w:rPr>
          <w:lang w:eastAsia="en-US"/>
        </w:rPr>
        <w:lastRenderedPageBreak/>
        <w:t>Класифікація господарських засобі</w:t>
      </w:r>
      <w:proofErr w:type="gramStart"/>
      <w:r w:rsidRPr="008A2E57">
        <w:rPr>
          <w:lang w:eastAsia="en-US"/>
        </w:rPr>
        <w:t>в</w:t>
      </w:r>
      <w:bookmarkEnd w:id="0"/>
      <w:proofErr w:type="gramEnd"/>
    </w:p>
    <w:p w:rsidR="00680752" w:rsidRDefault="00680752" w:rsidP="00E97B53">
      <w:pPr>
        <w:pStyle w:val="a2"/>
        <w:rPr>
          <w:lang w:eastAsia="en-US"/>
        </w:rPr>
      </w:pPr>
    </w:p>
    <w:p w:rsidR="001924DB" w:rsidRDefault="00671FB5" w:rsidP="001924DB">
      <w:pPr>
        <w:pStyle w:val="a2"/>
        <w:rPr>
          <w:lang w:eastAsia="en-US"/>
        </w:rPr>
      </w:pPr>
      <w:r>
        <w:rPr>
          <w:lang w:eastAsia="en-US"/>
        </w:rPr>
        <w:t xml:space="preserve">Мета </w:t>
      </w:r>
      <w:proofErr w:type="spellStart"/>
      <w:r>
        <w:rPr>
          <w:lang w:eastAsia="en-US"/>
        </w:rPr>
        <w:t>роботи</w:t>
      </w:r>
      <w:proofErr w:type="spellEnd"/>
      <w:r>
        <w:rPr>
          <w:lang w:eastAsia="en-US"/>
        </w:rPr>
        <w:t xml:space="preserve">: </w:t>
      </w:r>
      <w:proofErr w:type="spellStart"/>
      <w:r w:rsidRPr="00671FB5">
        <w:rPr>
          <w:lang w:eastAsia="en-US"/>
        </w:rPr>
        <w:t>освоїти</w:t>
      </w:r>
      <w:proofErr w:type="spellEnd"/>
      <w:r w:rsidRPr="00671FB5">
        <w:rPr>
          <w:lang w:eastAsia="en-US"/>
        </w:rPr>
        <w:t xml:space="preserve"> </w:t>
      </w:r>
      <w:proofErr w:type="spellStart"/>
      <w:r w:rsidRPr="00671FB5">
        <w:rPr>
          <w:lang w:eastAsia="en-US"/>
        </w:rPr>
        <w:t>класифікаційні</w:t>
      </w:r>
      <w:proofErr w:type="spellEnd"/>
      <w:r w:rsidRPr="00671FB5">
        <w:rPr>
          <w:lang w:eastAsia="en-US"/>
        </w:rPr>
        <w:t xml:space="preserve"> </w:t>
      </w:r>
      <w:proofErr w:type="spellStart"/>
      <w:r w:rsidRPr="00671FB5">
        <w:rPr>
          <w:lang w:eastAsia="en-US"/>
        </w:rPr>
        <w:t>угрупування</w:t>
      </w:r>
      <w:proofErr w:type="spellEnd"/>
      <w:r w:rsidRPr="00671FB5">
        <w:rPr>
          <w:lang w:eastAsia="en-US"/>
        </w:rPr>
        <w:t xml:space="preserve">  </w:t>
      </w:r>
      <w:proofErr w:type="spellStart"/>
      <w:r w:rsidRPr="00671FB5">
        <w:rPr>
          <w:lang w:eastAsia="en-US"/>
        </w:rPr>
        <w:t>господарських</w:t>
      </w:r>
      <w:proofErr w:type="spellEnd"/>
      <w:r w:rsidRPr="00671FB5">
        <w:rPr>
          <w:lang w:eastAsia="en-US"/>
        </w:rPr>
        <w:t xml:space="preserve"> </w:t>
      </w:r>
      <w:proofErr w:type="spellStart"/>
      <w:r w:rsidRPr="00671FB5">
        <w:rPr>
          <w:lang w:eastAsia="en-US"/>
        </w:rPr>
        <w:t>засобів</w:t>
      </w:r>
      <w:proofErr w:type="spellEnd"/>
      <w:r w:rsidRPr="00671FB5">
        <w:rPr>
          <w:lang w:eastAsia="en-US"/>
        </w:rPr>
        <w:t xml:space="preserve"> </w:t>
      </w:r>
      <w:proofErr w:type="spellStart"/>
      <w:r w:rsidRPr="00671FB5">
        <w:rPr>
          <w:lang w:eastAsia="en-US"/>
        </w:rPr>
        <w:t>згідно</w:t>
      </w:r>
      <w:proofErr w:type="spellEnd"/>
      <w:r w:rsidRPr="00671FB5">
        <w:rPr>
          <w:lang w:eastAsia="en-US"/>
        </w:rPr>
        <w:t xml:space="preserve"> </w:t>
      </w:r>
      <w:proofErr w:type="gramStart"/>
      <w:r w:rsidRPr="00671FB5">
        <w:rPr>
          <w:lang w:eastAsia="en-US"/>
        </w:rPr>
        <w:t>П(</w:t>
      </w:r>
      <w:proofErr w:type="gramEnd"/>
      <w:r w:rsidRPr="00671FB5">
        <w:rPr>
          <w:lang w:eastAsia="en-US"/>
        </w:rPr>
        <w:t>С)БО.</w:t>
      </w:r>
    </w:p>
    <w:p w:rsidR="001924DB" w:rsidRDefault="004D1BC1" w:rsidP="001924DB">
      <w:pPr>
        <w:pStyle w:val="a2"/>
        <w:rPr>
          <w:lang w:eastAsia="en-US"/>
        </w:rPr>
      </w:pPr>
      <w:proofErr w:type="spellStart"/>
      <w:r>
        <w:rPr>
          <w:lang w:eastAsia="en-US"/>
        </w:rPr>
        <w:t>Початкові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дан</w:t>
      </w:r>
      <w:proofErr w:type="gramEnd"/>
      <w:r>
        <w:rPr>
          <w:lang w:eastAsia="en-US"/>
        </w:rPr>
        <w:t>і</w:t>
      </w:r>
      <w:proofErr w:type="spellEnd"/>
      <w:r>
        <w:rPr>
          <w:lang w:eastAsia="en-US"/>
        </w:rPr>
        <w:t>:</w:t>
      </w:r>
    </w:p>
    <w:p w:rsidR="004D1BC1" w:rsidRDefault="004D1BC1" w:rsidP="001924DB">
      <w:pPr>
        <w:pStyle w:val="a2"/>
        <w:rPr>
          <w:lang w:eastAsia="en-US"/>
        </w:rPr>
      </w:pPr>
    </w:p>
    <w:p w:rsidR="004D1BC1" w:rsidRDefault="004D1BC1" w:rsidP="00EF0A2F">
      <w:pPr>
        <w:pStyle w:val="a2"/>
        <w:ind w:left="708"/>
        <w:rPr>
          <w:lang w:eastAsia="en-US"/>
        </w:rPr>
      </w:pPr>
      <w:proofErr w:type="spellStart"/>
      <w:r w:rsidRPr="004D1BC1">
        <w:rPr>
          <w:lang w:eastAsia="en-US"/>
        </w:rPr>
        <w:t>Таблиця</w:t>
      </w:r>
      <w:proofErr w:type="spellEnd"/>
      <w:r w:rsidRPr="004D1BC1">
        <w:rPr>
          <w:lang w:eastAsia="en-US"/>
        </w:rPr>
        <w:t xml:space="preserve"> А.1 – </w:t>
      </w:r>
      <w:proofErr w:type="spellStart"/>
      <w:r w:rsidRPr="004D1BC1">
        <w:rPr>
          <w:lang w:eastAsia="en-US"/>
        </w:rPr>
        <w:t>Інвентаризаційний</w:t>
      </w:r>
      <w:proofErr w:type="spellEnd"/>
      <w:r w:rsidRPr="004D1BC1">
        <w:rPr>
          <w:lang w:eastAsia="en-US"/>
        </w:rPr>
        <w:t xml:space="preserve"> </w:t>
      </w:r>
      <w:proofErr w:type="spellStart"/>
      <w:r w:rsidRPr="004D1BC1">
        <w:rPr>
          <w:lang w:eastAsia="en-US"/>
        </w:rPr>
        <w:t>опис</w:t>
      </w:r>
      <w:proofErr w:type="spellEnd"/>
      <w:r w:rsidRPr="004D1BC1">
        <w:rPr>
          <w:lang w:eastAsia="en-US"/>
        </w:rPr>
        <w:t xml:space="preserve"> </w:t>
      </w:r>
      <w:proofErr w:type="spellStart"/>
      <w:r w:rsidRPr="004D1BC1">
        <w:rPr>
          <w:lang w:eastAsia="en-US"/>
        </w:rPr>
        <w:t>господарських</w:t>
      </w:r>
      <w:proofErr w:type="spellEnd"/>
      <w:r w:rsidRPr="004D1BC1">
        <w:rPr>
          <w:lang w:eastAsia="en-US"/>
        </w:rPr>
        <w:t xml:space="preserve"> </w:t>
      </w:r>
      <w:proofErr w:type="spellStart"/>
      <w:r w:rsidRPr="004D1BC1">
        <w:rPr>
          <w:lang w:eastAsia="en-US"/>
        </w:rPr>
        <w:t>засобів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п</w:t>
      </w:r>
      <w:proofErr w:type="gramEnd"/>
      <w:r w:rsidRPr="004D1BC1">
        <w:rPr>
          <w:lang w:eastAsia="en-US"/>
        </w:rPr>
        <w:t>ідприємства</w:t>
      </w:r>
      <w:proofErr w:type="spellEnd"/>
    </w:p>
    <w:tbl>
      <w:tblPr>
        <w:tblW w:w="689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4397"/>
        <w:gridCol w:w="1916"/>
      </w:tblGrid>
      <w:tr w:rsidR="00A236BE" w:rsidRPr="004D1BC1" w:rsidTr="009A6FE1">
        <w:trPr>
          <w:trHeight w:val="700"/>
          <w:jc w:val="center"/>
        </w:trPr>
        <w:tc>
          <w:tcPr>
            <w:tcW w:w="579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№ з/п</w:t>
            </w:r>
          </w:p>
        </w:tc>
        <w:tc>
          <w:tcPr>
            <w:tcW w:w="4397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Назва засобів і джерел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 xml:space="preserve">Сума (грн.) </w:t>
            </w:r>
          </w:p>
        </w:tc>
      </w:tr>
      <w:tr w:rsidR="004D1BC1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А</w:t>
            </w:r>
          </w:p>
        </w:tc>
        <w:tc>
          <w:tcPr>
            <w:tcW w:w="4397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Б</w:t>
            </w:r>
          </w:p>
        </w:tc>
        <w:tc>
          <w:tcPr>
            <w:tcW w:w="1916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Будівлі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199020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Робочі машини та обладнання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69550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Знос основних засобів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160500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4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Передавальні пристрої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102720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5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Заборгованість перед постачальниками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117700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6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Пальне та мастильні матеріали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84670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7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Нематеріальні активи (первісна вартість)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19260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8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Незавершене виробництво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41880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9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Статутний капітал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695500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10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Споруди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42800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11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Земельні ділянки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28890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12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Кошти на поточному рахунку в національній валюті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149800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13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Малоцінні та швидкозношувані предмети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23540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14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Резервний капітал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113420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15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Довгострокові кредити банку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288900</w:t>
            </w:r>
          </w:p>
        </w:tc>
      </w:tr>
      <w:tr w:rsidR="00C26DFD" w:rsidRPr="004D1BC1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16</w:t>
            </w:r>
          </w:p>
        </w:tc>
        <w:tc>
          <w:tcPr>
            <w:tcW w:w="4397" w:type="dxa"/>
            <w:shd w:val="clear" w:color="auto" w:fill="auto"/>
          </w:tcPr>
          <w:p w:rsidR="00C26DFD" w:rsidRPr="004D1BC1" w:rsidRDefault="00C26DFD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Резерв наступних витрат і платежів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C26DFD" w:rsidRPr="009F6EA0" w:rsidRDefault="00C26DFD" w:rsidP="00C26DFD">
            <w:pPr>
              <w:pStyle w:val="a2"/>
              <w:jc w:val="right"/>
            </w:pPr>
            <w:r w:rsidRPr="009F6EA0">
              <w:t>44940</w:t>
            </w:r>
          </w:p>
        </w:tc>
      </w:tr>
    </w:tbl>
    <w:p w:rsidR="00C06EB0" w:rsidRDefault="00C06EB0"/>
    <w:p w:rsidR="00EF0A2F" w:rsidRDefault="00EF0A2F" w:rsidP="00EF0A2F">
      <w:pPr>
        <w:pStyle w:val="a"/>
        <w:numPr>
          <w:ilvl w:val="0"/>
          <w:numId w:val="0"/>
        </w:numPr>
      </w:pPr>
      <w:r>
        <w:lastRenderedPageBreak/>
        <w:t xml:space="preserve">                </w:t>
      </w:r>
      <w:bookmarkStart w:id="1" w:name="_GoBack"/>
      <w:bookmarkEnd w:id="1"/>
      <w:proofErr w:type="spellStart"/>
      <w:r w:rsidRPr="00EF0A2F">
        <w:t>Продовження</w:t>
      </w:r>
      <w:proofErr w:type="spellEnd"/>
      <w:r w:rsidRPr="00EF0A2F">
        <w:t xml:space="preserve"> </w:t>
      </w:r>
      <w:proofErr w:type="spellStart"/>
      <w:r w:rsidRPr="00EF0A2F">
        <w:t>таблиці</w:t>
      </w:r>
      <w:proofErr w:type="spellEnd"/>
      <w:r w:rsidRPr="00EF0A2F">
        <w:t xml:space="preserve">  А.1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4"/>
        <w:gridCol w:w="1985"/>
      </w:tblGrid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C06EB0" w:rsidRDefault="00C06EB0" w:rsidP="00C06EB0">
            <w:pPr>
              <w:pStyle w:val="a2"/>
              <w:ind w:firstLine="0"/>
              <w:jc w:val="center"/>
            </w:pPr>
            <w:r w:rsidRPr="00C06EB0">
              <w:t>А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C06EB0" w:rsidRPr="00C06EB0" w:rsidRDefault="00C06EB0" w:rsidP="00A236BE">
            <w:pPr>
              <w:pStyle w:val="a2"/>
              <w:ind w:firstLine="34"/>
              <w:jc w:val="center"/>
            </w:pPr>
            <w:r w:rsidRPr="00C06EB0">
              <w:t>Б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C06EB0" w:rsidRDefault="00C06EB0" w:rsidP="00A236BE">
            <w:pPr>
              <w:pStyle w:val="a2"/>
              <w:ind w:firstLine="0"/>
              <w:jc w:val="center"/>
            </w:pPr>
            <w:r w:rsidRPr="00C06EB0">
              <w:t>1</w:t>
            </w:r>
            <w:r>
              <w:t>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4D1BC1" w:rsidRDefault="00C06EB0" w:rsidP="00B702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17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B7022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Інструменти й прилади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B70222">
            <w:pPr>
              <w:pStyle w:val="a2"/>
              <w:jc w:val="right"/>
            </w:pPr>
            <w:r w:rsidRPr="009F6EA0">
              <w:t>16050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18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Короткострокові кредити банків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49220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19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Заборгованість перед бюджетом за податками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102720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20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Готова продукція на складі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155150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21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Транспортні засоби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57780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22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Знос малоцінних необоротних матеріальних активів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8560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Дебіторська заборгованість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12840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24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Прибуток звітного року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21400</w:t>
            </w:r>
          </w:p>
        </w:tc>
      </w:tr>
      <w:tr w:rsidR="00C06EB0" w:rsidRPr="004D1BC1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25</w:t>
            </w:r>
          </w:p>
        </w:tc>
        <w:tc>
          <w:tcPr>
            <w:tcW w:w="4394" w:type="dxa"/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Тара і тарні матеріали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107000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Заборгованість покупців за ре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а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лізовану їм продукцію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99220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Нерозподілений прибуток м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и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нулого року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53500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Заборгованість підприємства перед різними кредиторами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14980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29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Заборгованість перед працівн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и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ками з оплати праці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42800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Запасні частини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80250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Заборгованість перед органами страхування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16050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Будівельні матеріали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69550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Куповані напівфабрикати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96300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Знос нематеріальних активів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3210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Короткострокові векселі видані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10700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Господарський інвентар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36060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Готівка в касі в національній валюті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1070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Основні матеріали на складі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235400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39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Малоцінні необоротні матері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а</w:t>
            </w: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льні активи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15300</w:t>
            </w:r>
          </w:p>
        </w:tc>
      </w:tr>
      <w:tr w:rsidR="00C06EB0" w:rsidRPr="009F6EA0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lastRenderedPageBreak/>
              <w:t> ∑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EB0" w:rsidRPr="004D1BC1" w:rsidRDefault="00C06EB0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  <w:lang w:val="uk-UA"/>
              </w:rPr>
              <w:t>Усього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6EB0" w:rsidRPr="009F6EA0" w:rsidRDefault="00C06EB0" w:rsidP="00C26DFD">
            <w:pPr>
              <w:pStyle w:val="a2"/>
              <w:jc w:val="right"/>
            </w:pPr>
            <w:r w:rsidRPr="009F6EA0">
              <w:t>3488200</w:t>
            </w:r>
          </w:p>
        </w:tc>
      </w:tr>
    </w:tbl>
    <w:p w:rsidR="004D1BC1" w:rsidRDefault="004D1BC1" w:rsidP="004D1BC1">
      <w:pPr>
        <w:pStyle w:val="a2"/>
        <w:rPr>
          <w:lang w:eastAsia="en-US"/>
        </w:rPr>
      </w:pPr>
    </w:p>
    <w:p w:rsidR="004D1BC1" w:rsidRDefault="004D1BC1" w:rsidP="001924DB">
      <w:pPr>
        <w:pStyle w:val="a2"/>
        <w:rPr>
          <w:lang w:eastAsia="en-US"/>
        </w:rPr>
      </w:pPr>
    </w:p>
    <w:p w:rsidR="001924DB" w:rsidRDefault="001924DB" w:rsidP="00E97B53">
      <w:pPr>
        <w:pStyle w:val="a2"/>
        <w:rPr>
          <w:lang w:eastAsia="en-US"/>
        </w:rPr>
      </w:pPr>
    </w:p>
    <w:p w:rsidR="00680752" w:rsidRDefault="00680752" w:rsidP="00E97B53">
      <w:pPr>
        <w:pStyle w:val="a2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9950AD" w:rsidRDefault="008A2E57" w:rsidP="008A2E57">
      <w:pPr>
        <w:pStyle w:val="1"/>
        <w:rPr>
          <w:lang w:val="uk-UA"/>
        </w:rPr>
      </w:pPr>
      <w:bookmarkStart w:id="2" w:name="_Toc4244807"/>
      <w:r w:rsidRPr="009950AD">
        <w:rPr>
          <w:lang w:val="uk-UA"/>
        </w:rPr>
        <w:lastRenderedPageBreak/>
        <w:t>Вплив господарських операцій на баланс</w:t>
      </w:r>
      <w:bookmarkEnd w:id="2"/>
    </w:p>
    <w:p w:rsidR="008A2E57" w:rsidRDefault="008A2E57" w:rsidP="008A2E57">
      <w:pPr>
        <w:pStyle w:val="1"/>
        <w:numPr>
          <w:ilvl w:val="0"/>
          <w:numId w:val="0"/>
        </w:numPr>
        <w:jc w:val="left"/>
        <w:rPr>
          <w:lang w:eastAsia="en-US"/>
        </w:rPr>
        <w:sectPr w:rsidR="008A2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7342" w:rsidRDefault="008A2E57" w:rsidP="008A2E57">
      <w:pPr>
        <w:pStyle w:val="1"/>
        <w:rPr>
          <w:lang w:eastAsia="en-US"/>
        </w:rPr>
      </w:pPr>
      <w:bookmarkStart w:id="3" w:name="_Toc4244808"/>
      <w:r w:rsidRPr="008A2E57">
        <w:rPr>
          <w:lang w:eastAsia="en-US"/>
        </w:rPr>
        <w:lastRenderedPageBreak/>
        <w:t>Відкриття та закриття бухгалтерських рахункі</w:t>
      </w:r>
      <w:proofErr w:type="gramStart"/>
      <w:r w:rsidRPr="008A2E57">
        <w:rPr>
          <w:lang w:eastAsia="en-US"/>
        </w:rPr>
        <w:t>в</w:t>
      </w:r>
      <w:bookmarkEnd w:id="3"/>
      <w:proofErr w:type="gramEnd"/>
    </w:p>
    <w:p w:rsidR="008A2E57" w:rsidRDefault="008A2E57" w:rsidP="008A2E57">
      <w:pPr>
        <w:pStyle w:val="a2"/>
        <w:rPr>
          <w:lang w:eastAsia="en-US"/>
        </w:rPr>
        <w:sectPr w:rsidR="008A2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8A2E57" w:rsidP="008A2E57">
      <w:pPr>
        <w:pStyle w:val="1"/>
        <w:rPr>
          <w:lang w:eastAsia="en-US"/>
        </w:rPr>
      </w:pPr>
      <w:bookmarkStart w:id="4" w:name="_Toc4244809"/>
      <w:r w:rsidRPr="008A2E57">
        <w:rPr>
          <w:lang w:eastAsia="en-US"/>
        </w:rPr>
        <w:lastRenderedPageBreak/>
        <w:t>Побудова оборотної відомості</w:t>
      </w:r>
      <w:bookmarkEnd w:id="4"/>
    </w:p>
    <w:p w:rsidR="008A2E57" w:rsidRDefault="008A2E57" w:rsidP="008A2E57">
      <w:pPr>
        <w:pStyle w:val="a2"/>
        <w:rPr>
          <w:lang w:eastAsia="en-US"/>
        </w:rPr>
        <w:sectPr w:rsidR="008A2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8A2E57" w:rsidP="008A2E57">
      <w:pPr>
        <w:pStyle w:val="1"/>
        <w:rPr>
          <w:lang w:eastAsia="en-US"/>
        </w:rPr>
      </w:pPr>
      <w:bookmarkStart w:id="5" w:name="_Toc4244810"/>
      <w:r w:rsidRPr="008A2E57">
        <w:rPr>
          <w:lang w:eastAsia="en-US"/>
        </w:rPr>
        <w:lastRenderedPageBreak/>
        <w:t>Побудова шаховою відомості</w:t>
      </w:r>
      <w:bookmarkEnd w:id="5"/>
    </w:p>
    <w:p w:rsidR="008A2E57" w:rsidRDefault="008A2E57" w:rsidP="008A2E57">
      <w:pPr>
        <w:pStyle w:val="a2"/>
        <w:rPr>
          <w:lang w:eastAsia="en-US"/>
        </w:rPr>
        <w:sectPr w:rsidR="008A2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8A2E57" w:rsidP="008A2E57">
      <w:pPr>
        <w:pStyle w:val="1"/>
        <w:rPr>
          <w:lang w:eastAsia="en-US"/>
        </w:rPr>
      </w:pPr>
      <w:bookmarkStart w:id="6" w:name="_Toc4244811"/>
      <w:r w:rsidRPr="008A2E57">
        <w:rPr>
          <w:lang w:eastAsia="en-US"/>
        </w:rPr>
        <w:lastRenderedPageBreak/>
        <w:t>Побудова бухгалтерського балансу</w:t>
      </w:r>
      <w:bookmarkEnd w:id="6"/>
    </w:p>
    <w:p w:rsidR="008A2E57" w:rsidRPr="008A2E57" w:rsidRDefault="008A2E57" w:rsidP="008A2E57">
      <w:pPr>
        <w:pStyle w:val="a2"/>
        <w:rPr>
          <w:lang w:eastAsia="en-US"/>
        </w:rPr>
      </w:pPr>
    </w:p>
    <w:p w:rsidR="008A2E57" w:rsidRDefault="008A2E57" w:rsidP="008A2E57">
      <w:pPr>
        <w:pStyle w:val="a2"/>
        <w:rPr>
          <w:lang w:eastAsia="en-US"/>
        </w:rPr>
        <w:sectPr w:rsidR="008A2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8A2E57" w:rsidP="00B547F0">
      <w:pPr>
        <w:pStyle w:val="10"/>
      </w:pPr>
      <w:bookmarkStart w:id="7" w:name="_Toc4244812"/>
      <w:r w:rsidRPr="008A2E57">
        <w:lastRenderedPageBreak/>
        <w:t>Висновок</w:t>
      </w:r>
      <w:bookmarkEnd w:id="7"/>
    </w:p>
    <w:p w:rsidR="008A2E57" w:rsidRDefault="008A2E57" w:rsidP="008A2E57">
      <w:pPr>
        <w:pStyle w:val="a2"/>
      </w:pPr>
    </w:p>
    <w:p w:rsidR="008A2E57" w:rsidRPr="008A2E57" w:rsidRDefault="008A2E57" w:rsidP="008A2E57">
      <w:pPr>
        <w:pStyle w:val="a2"/>
        <w:sectPr w:rsidR="008A2E57" w:rsidRPr="008A2E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8A2E57" w:rsidP="008A2E57">
      <w:pPr>
        <w:pStyle w:val="1"/>
        <w:numPr>
          <w:ilvl w:val="0"/>
          <w:numId w:val="0"/>
        </w:numPr>
      </w:pPr>
      <w:bookmarkStart w:id="8" w:name="_Toc4244813"/>
      <w:r w:rsidRPr="008A2E57">
        <w:rPr>
          <w:rFonts w:eastAsiaTheme="majorEastAsia"/>
        </w:rPr>
        <w:lastRenderedPageBreak/>
        <w:t>Використана література</w:t>
      </w:r>
      <w:bookmarkEnd w:id="8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C0D" w:rsidRDefault="00FA0C0D" w:rsidP="00B547F0">
      <w:pPr>
        <w:spacing w:after="0" w:line="240" w:lineRule="auto"/>
      </w:pPr>
      <w:r>
        <w:separator/>
      </w:r>
    </w:p>
  </w:endnote>
  <w:endnote w:type="continuationSeparator" w:id="0">
    <w:p w:rsidR="00FA0C0D" w:rsidRDefault="00FA0C0D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C0D" w:rsidRDefault="00FA0C0D" w:rsidP="00B547F0">
      <w:pPr>
        <w:spacing w:after="0" w:line="240" w:lineRule="auto"/>
      </w:pPr>
      <w:r>
        <w:separator/>
      </w:r>
    </w:p>
  </w:footnote>
  <w:footnote w:type="continuationSeparator" w:id="0">
    <w:p w:rsidR="00FA0C0D" w:rsidRDefault="00FA0C0D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F0A2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5E82"/>
    <w:rsid w:val="000657CE"/>
    <w:rsid w:val="00084D3D"/>
    <w:rsid w:val="000855AB"/>
    <w:rsid w:val="001215C0"/>
    <w:rsid w:val="00123CBC"/>
    <w:rsid w:val="001448AE"/>
    <w:rsid w:val="00166BEC"/>
    <w:rsid w:val="00191098"/>
    <w:rsid w:val="001924DB"/>
    <w:rsid w:val="001C2394"/>
    <w:rsid w:val="001C4464"/>
    <w:rsid w:val="00210538"/>
    <w:rsid w:val="00217722"/>
    <w:rsid w:val="00276FFA"/>
    <w:rsid w:val="002878DC"/>
    <w:rsid w:val="00294635"/>
    <w:rsid w:val="002B3283"/>
    <w:rsid w:val="002D3264"/>
    <w:rsid w:val="002F16F6"/>
    <w:rsid w:val="002F7597"/>
    <w:rsid w:val="0031411D"/>
    <w:rsid w:val="0032506B"/>
    <w:rsid w:val="00334EFD"/>
    <w:rsid w:val="00343118"/>
    <w:rsid w:val="003533C3"/>
    <w:rsid w:val="00357C1D"/>
    <w:rsid w:val="00367342"/>
    <w:rsid w:val="00384AFE"/>
    <w:rsid w:val="00391BF8"/>
    <w:rsid w:val="003B7233"/>
    <w:rsid w:val="003D01BE"/>
    <w:rsid w:val="00406EDE"/>
    <w:rsid w:val="00417300"/>
    <w:rsid w:val="0041791E"/>
    <w:rsid w:val="004438D7"/>
    <w:rsid w:val="004507E3"/>
    <w:rsid w:val="004533E8"/>
    <w:rsid w:val="00455FD1"/>
    <w:rsid w:val="004835BD"/>
    <w:rsid w:val="0049738E"/>
    <w:rsid w:val="004D1BC1"/>
    <w:rsid w:val="004E7668"/>
    <w:rsid w:val="004F537E"/>
    <w:rsid w:val="00501B62"/>
    <w:rsid w:val="00510B4D"/>
    <w:rsid w:val="005356BC"/>
    <w:rsid w:val="00542540"/>
    <w:rsid w:val="005A1B45"/>
    <w:rsid w:val="005A41E9"/>
    <w:rsid w:val="005A7EA1"/>
    <w:rsid w:val="005B4C24"/>
    <w:rsid w:val="005D06F9"/>
    <w:rsid w:val="005D7743"/>
    <w:rsid w:val="005F3BF3"/>
    <w:rsid w:val="005F407A"/>
    <w:rsid w:val="006269D2"/>
    <w:rsid w:val="00642DBE"/>
    <w:rsid w:val="00671FB5"/>
    <w:rsid w:val="0068066B"/>
    <w:rsid w:val="00680752"/>
    <w:rsid w:val="006864D9"/>
    <w:rsid w:val="006B6E2A"/>
    <w:rsid w:val="006E07FE"/>
    <w:rsid w:val="0072433C"/>
    <w:rsid w:val="00730DFF"/>
    <w:rsid w:val="007560AD"/>
    <w:rsid w:val="007633F5"/>
    <w:rsid w:val="007A6061"/>
    <w:rsid w:val="007C1E44"/>
    <w:rsid w:val="007D6B57"/>
    <w:rsid w:val="00802FDF"/>
    <w:rsid w:val="008128B9"/>
    <w:rsid w:val="00817542"/>
    <w:rsid w:val="00824B94"/>
    <w:rsid w:val="00831E1D"/>
    <w:rsid w:val="00862846"/>
    <w:rsid w:val="00875018"/>
    <w:rsid w:val="008762ED"/>
    <w:rsid w:val="008A2E57"/>
    <w:rsid w:val="008D5487"/>
    <w:rsid w:val="008D5D9A"/>
    <w:rsid w:val="008D6743"/>
    <w:rsid w:val="00902E8E"/>
    <w:rsid w:val="009059F6"/>
    <w:rsid w:val="00922D6C"/>
    <w:rsid w:val="00933A19"/>
    <w:rsid w:val="009427AA"/>
    <w:rsid w:val="00982FF5"/>
    <w:rsid w:val="009900F5"/>
    <w:rsid w:val="00993EB1"/>
    <w:rsid w:val="009A6FE1"/>
    <w:rsid w:val="009B7164"/>
    <w:rsid w:val="009D724F"/>
    <w:rsid w:val="00A01732"/>
    <w:rsid w:val="00A236BE"/>
    <w:rsid w:val="00A474C0"/>
    <w:rsid w:val="00A47F29"/>
    <w:rsid w:val="00AB59E6"/>
    <w:rsid w:val="00AC20D6"/>
    <w:rsid w:val="00AC7C6F"/>
    <w:rsid w:val="00AE47D3"/>
    <w:rsid w:val="00AE62D8"/>
    <w:rsid w:val="00B057DB"/>
    <w:rsid w:val="00B05E44"/>
    <w:rsid w:val="00B2459C"/>
    <w:rsid w:val="00B24F0C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C17E0"/>
    <w:rsid w:val="00BE3EB7"/>
    <w:rsid w:val="00BE5C10"/>
    <w:rsid w:val="00C06EB0"/>
    <w:rsid w:val="00C26DFD"/>
    <w:rsid w:val="00C504CE"/>
    <w:rsid w:val="00C83FBF"/>
    <w:rsid w:val="00C92554"/>
    <w:rsid w:val="00CB0C47"/>
    <w:rsid w:val="00CC7358"/>
    <w:rsid w:val="00CF6D88"/>
    <w:rsid w:val="00D03F70"/>
    <w:rsid w:val="00D43948"/>
    <w:rsid w:val="00D72BA2"/>
    <w:rsid w:val="00D75F41"/>
    <w:rsid w:val="00DD7D8B"/>
    <w:rsid w:val="00DE0AEC"/>
    <w:rsid w:val="00DE79EB"/>
    <w:rsid w:val="00E20594"/>
    <w:rsid w:val="00E4540C"/>
    <w:rsid w:val="00E56BFC"/>
    <w:rsid w:val="00E62A98"/>
    <w:rsid w:val="00E75C13"/>
    <w:rsid w:val="00E97B53"/>
    <w:rsid w:val="00EA2D2F"/>
    <w:rsid w:val="00EB3FCD"/>
    <w:rsid w:val="00EB5578"/>
    <w:rsid w:val="00EB5F39"/>
    <w:rsid w:val="00ED49AF"/>
    <w:rsid w:val="00ED6DD2"/>
    <w:rsid w:val="00EF0A2F"/>
    <w:rsid w:val="00EF14B4"/>
    <w:rsid w:val="00EF7C96"/>
    <w:rsid w:val="00F039D3"/>
    <w:rsid w:val="00F063D6"/>
    <w:rsid w:val="00F30C79"/>
    <w:rsid w:val="00F3145C"/>
    <w:rsid w:val="00F71174"/>
    <w:rsid w:val="00F74193"/>
    <w:rsid w:val="00F81BDF"/>
    <w:rsid w:val="00FA0C0D"/>
    <w:rsid w:val="00FB517C"/>
    <w:rsid w:val="00FD70EA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94AC44-9CF7-4B75-9454-E03A5C21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24</cp:revision>
  <dcterms:created xsi:type="dcterms:W3CDTF">2019-03-03T08:41:00Z</dcterms:created>
  <dcterms:modified xsi:type="dcterms:W3CDTF">2019-03-23T12:26:00Z</dcterms:modified>
</cp:coreProperties>
</file>