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937" w:rsidRPr="000D0BA5" w:rsidRDefault="00186937" w:rsidP="00186937">
      <w:pPr>
        <w:widowControl w:val="0"/>
        <w:jc w:val="center"/>
        <w:rPr>
          <w:rFonts w:ascii="Times New Roman" w:hAnsi="Times New Roman"/>
          <w:sz w:val="28"/>
          <w:szCs w:val="28"/>
          <w:u w:val="single"/>
        </w:rPr>
      </w:pPr>
      <w:r w:rsidRPr="000D0BA5">
        <w:rPr>
          <w:rFonts w:ascii="Times New Roman" w:hAnsi="Times New Roman"/>
          <w:sz w:val="28"/>
          <w:szCs w:val="28"/>
        </w:rPr>
        <w:t>Экзаменационный билет 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27</w:t>
      </w:r>
    </w:p>
    <w:p w:rsidR="00186937" w:rsidRPr="000D0BA5" w:rsidRDefault="00186937" w:rsidP="00186937">
      <w:pPr>
        <w:widowControl w:val="0"/>
        <w:jc w:val="center"/>
        <w:rPr>
          <w:rFonts w:ascii="Times New Roman" w:hAnsi="Times New Roman"/>
          <w:szCs w:val="24"/>
        </w:rPr>
      </w:pPr>
    </w:p>
    <w:p w:rsidR="00186937" w:rsidRPr="00186937" w:rsidRDefault="00186937" w:rsidP="00186937">
      <w:pPr>
        <w:pStyle w:val="ad"/>
        <w:widowControl w:val="0"/>
        <w:numPr>
          <w:ilvl w:val="0"/>
          <w:numId w:val="16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</w:rPr>
      </w:pPr>
      <w:r w:rsidRPr="00186937">
        <w:rPr>
          <w:rFonts w:ascii="Times New Roman" w:hAnsi="Times New Roman"/>
          <w:b/>
          <w:sz w:val="28"/>
        </w:rPr>
        <w:t xml:space="preserve">Основные признаки классификации инвестиций. </w:t>
      </w:r>
    </w:p>
    <w:p w:rsidR="00186937" w:rsidRPr="00186937" w:rsidRDefault="00186937" w:rsidP="00186937">
      <w:pPr>
        <w:pStyle w:val="a7"/>
      </w:pPr>
      <w:r w:rsidRPr="00186937">
        <w:t>Экономи</w:t>
      </w:r>
      <w:r>
        <w:t>ческую природу инвестиций прояс</w:t>
      </w:r>
      <w:r w:rsidRPr="00186937">
        <w:t>няет классификация, в основу которой положены различные признаки</w:t>
      </w:r>
      <w:r>
        <w:t>:</w:t>
      </w:r>
    </w:p>
    <w:p w:rsidR="00186937" w:rsidRPr="00186937" w:rsidRDefault="00186937" w:rsidP="00186937">
      <w:pPr>
        <w:pStyle w:val="a7"/>
      </w:pPr>
      <w:r w:rsidRPr="00186937">
        <w:t>1)      виды инвестиций;</w:t>
      </w:r>
    </w:p>
    <w:p w:rsidR="00186937" w:rsidRPr="00186937" w:rsidRDefault="00186937" w:rsidP="00186937">
      <w:pPr>
        <w:pStyle w:val="a7"/>
      </w:pPr>
      <w:r w:rsidRPr="00186937">
        <w:t>2)      объекты вложения средств;</w:t>
      </w:r>
    </w:p>
    <w:p w:rsidR="00186937" w:rsidRPr="00186937" w:rsidRDefault="00186937" w:rsidP="00186937">
      <w:pPr>
        <w:pStyle w:val="a7"/>
      </w:pPr>
      <w:r w:rsidRPr="00186937">
        <w:t>3)      характер участия в инвестировании;</w:t>
      </w:r>
    </w:p>
    <w:p w:rsidR="00186937" w:rsidRPr="00186937" w:rsidRDefault="00186937" w:rsidP="00186937">
      <w:pPr>
        <w:pStyle w:val="a7"/>
      </w:pPr>
      <w:r w:rsidRPr="00186937">
        <w:t>4)       региональный признак;</w:t>
      </w:r>
    </w:p>
    <w:p w:rsidR="00186937" w:rsidRPr="00186937" w:rsidRDefault="00186937" w:rsidP="00186937">
      <w:pPr>
        <w:pStyle w:val="a7"/>
      </w:pPr>
      <w:r w:rsidRPr="00186937">
        <w:t>5)      период инвестирования;</w:t>
      </w:r>
    </w:p>
    <w:p w:rsidR="00186937" w:rsidRPr="00186937" w:rsidRDefault="00186937" w:rsidP="00186937">
      <w:pPr>
        <w:pStyle w:val="a7"/>
      </w:pPr>
      <w:r w:rsidRPr="00186937">
        <w:t>6)      формы собственности;</w:t>
      </w:r>
    </w:p>
    <w:p w:rsidR="00186937" w:rsidRPr="00186937" w:rsidRDefault="00186937" w:rsidP="00186937">
      <w:pPr>
        <w:pStyle w:val="a7"/>
      </w:pPr>
      <w:r w:rsidRPr="00186937">
        <w:t>7)      формы участия инвестора;</w:t>
      </w:r>
    </w:p>
    <w:p w:rsidR="00186937" w:rsidRPr="00186937" w:rsidRDefault="00186937" w:rsidP="00186937">
      <w:pPr>
        <w:pStyle w:val="a7"/>
      </w:pPr>
      <w:r w:rsidRPr="00186937">
        <w:t>8)      степень риска;</w:t>
      </w:r>
    </w:p>
    <w:p w:rsidR="00186937" w:rsidRDefault="00186937" w:rsidP="00186937">
      <w:pPr>
        <w:pStyle w:val="a7"/>
      </w:pPr>
      <w:r w:rsidRPr="00186937">
        <w:t>9)      формы воспроизводства.</w:t>
      </w:r>
    </w:p>
    <w:p w:rsidR="00186937" w:rsidRDefault="00186937" w:rsidP="00186937">
      <w:pPr>
        <w:pStyle w:val="ad"/>
        <w:widowControl w:val="0"/>
        <w:shd w:val="clear" w:color="auto" w:fill="FFFFFF"/>
        <w:tabs>
          <w:tab w:val="left" w:pos="1080"/>
        </w:tabs>
        <w:autoSpaceDE w:val="0"/>
        <w:autoSpaceDN w:val="0"/>
        <w:adjustRightInd w:val="0"/>
        <w:spacing w:after="0"/>
        <w:ind w:left="1069"/>
        <w:rPr>
          <w:rFonts w:ascii="Times New Roman" w:hAnsi="Times New Roman"/>
          <w:sz w:val="28"/>
        </w:rPr>
      </w:pPr>
    </w:p>
    <w:p w:rsidR="00186937" w:rsidRDefault="00186937" w:rsidP="00186937">
      <w:pPr>
        <w:pStyle w:val="ad"/>
        <w:widowControl w:val="0"/>
        <w:numPr>
          <w:ilvl w:val="0"/>
          <w:numId w:val="16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</w:rPr>
      </w:pPr>
      <w:r w:rsidRPr="00186937">
        <w:rPr>
          <w:rFonts w:ascii="Times New Roman" w:hAnsi="Times New Roman"/>
          <w:b/>
          <w:sz w:val="28"/>
        </w:rPr>
        <w:t>Статические и динамические показатели оценки эффективности инвестиций (краткая сравнительная характеристика).</w:t>
      </w:r>
    </w:p>
    <w:p w:rsidR="007B3C45" w:rsidRDefault="007B3C45" w:rsidP="007B3C45">
      <w:pPr>
        <w:pStyle w:val="a7"/>
      </w:pPr>
      <w:r>
        <w:t>С</w:t>
      </w:r>
      <w:r>
        <w:t>татиче</w:t>
      </w:r>
      <w:r w:rsidR="00F55447">
        <w:t>ские методы пригодны для неболь</w:t>
      </w:r>
      <w:r>
        <w:t>ших по размерам инвестиций, по которым сложные и дорогостоящие расчеты экономически нецелесообразны и для которых важным</w:t>
      </w:r>
      <w:r w:rsidR="00F55447">
        <w:t xml:space="preserve"> фактором является скорость при</w:t>
      </w:r>
      <w:r>
        <w:t>нятия решения. При использовании статических методов усредняются величины затрат и результатов в течение использования объекта инвестирования.</w:t>
      </w:r>
    </w:p>
    <w:p w:rsidR="00DD010D" w:rsidRDefault="00DD010D" w:rsidP="00DD010D">
      <w:pPr>
        <w:pStyle w:val="a7"/>
      </w:pPr>
      <w:r>
        <w:t>Н</w:t>
      </w:r>
      <w:r>
        <w:t>едостатки:</w:t>
      </w:r>
    </w:p>
    <w:p w:rsidR="00DD010D" w:rsidRDefault="00DD010D" w:rsidP="00DD010D">
      <w:pPr>
        <w:pStyle w:val="a7"/>
      </w:pPr>
      <w:r>
        <w:t>•   отсутствие учета разновременности вложения средств и получения результатов;</w:t>
      </w:r>
    </w:p>
    <w:p w:rsidR="00DD010D" w:rsidRDefault="00DD010D" w:rsidP="00DD010D">
      <w:pPr>
        <w:pStyle w:val="a7"/>
      </w:pPr>
      <w:r>
        <w:t>•   ориентация расчета основных показателей на один год, что снижает его достоверность;</w:t>
      </w:r>
    </w:p>
    <w:p w:rsidR="00DD010D" w:rsidRDefault="00DD010D" w:rsidP="00DD010D">
      <w:pPr>
        <w:pStyle w:val="a7"/>
      </w:pPr>
      <w:r>
        <w:t>•   применение нормативного коэффициента эффективности капитальных вложений, ориентированного на средние оценки их прибыльности вне зависимости от конкретных условий инвестирования;</w:t>
      </w:r>
    </w:p>
    <w:p w:rsidR="00DD010D" w:rsidRDefault="00DD010D" w:rsidP="00DD010D">
      <w:pPr>
        <w:pStyle w:val="a7"/>
      </w:pPr>
      <w:r>
        <w:t>•   отсутствие учета инфляции;</w:t>
      </w:r>
    </w:p>
    <w:p w:rsidR="00DD010D" w:rsidRDefault="00DD010D" w:rsidP="00DD010D">
      <w:pPr>
        <w:pStyle w:val="a7"/>
      </w:pPr>
      <w:r>
        <w:t>• отсутствие учета риска и неопределенности в осуществлении вложений.</w:t>
      </w:r>
    </w:p>
    <w:p w:rsidR="00DD010D" w:rsidRDefault="007B3C45" w:rsidP="007B3C45">
      <w:pPr>
        <w:pStyle w:val="a7"/>
      </w:pPr>
      <w:r>
        <w:t>В отличие от ста</w:t>
      </w:r>
      <w:r w:rsidR="00F55447">
        <w:t>тических динамические методы ос</w:t>
      </w:r>
      <w:r>
        <w:t>нованы на учете фактора времени, т.е. изменении затрат и результатов в течение</w:t>
      </w:r>
      <w:r w:rsidR="00F55447">
        <w:t xml:space="preserve"> инвестиционного цикла. Они при</w:t>
      </w:r>
      <w:r>
        <w:t>меняются при возможно</w:t>
      </w:r>
      <w:r w:rsidR="00F55447">
        <w:t>сти прогнозирования объемов про</w:t>
      </w:r>
      <w:r>
        <w:t xml:space="preserve">изводства и реализации продукции (услуг), учета </w:t>
      </w:r>
      <w:r w:rsidR="00EA2B4F">
        <w:t>фак</w:t>
      </w:r>
      <w:r>
        <w:t>торов риска и неопределенности и используются средними и крупными предприятиями при выборе для финансирования инвестиционных проектов.</w:t>
      </w:r>
      <w:r w:rsidR="00002E6B">
        <w:t xml:space="preserve"> </w:t>
      </w:r>
      <w:r w:rsidR="00DD010D" w:rsidRPr="00DD010D">
        <w:t>Использование динамических методов инвестиционных расчетов позволяет сравнить различные варианты проектных решений за расчетный период, принимаемый равным, как правило, инвестиционному циклу.</w:t>
      </w:r>
    </w:p>
    <w:p w:rsidR="00002E6B" w:rsidRDefault="00002E6B" w:rsidP="007B3C45">
      <w:pPr>
        <w:pStyle w:val="a7"/>
      </w:pPr>
    </w:p>
    <w:p w:rsidR="00186937" w:rsidRPr="00186937" w:rsidRDefault="00186937" w:rsidP="00186937">
      <w:pPr>
        <w:pStyle w:val="ad"/>
        <w:numPr>
          <w:ilvl w:val="0"/>
          <w:numId w:val="16"/>
        </w:numPr>
        <w:rPr>
          <w:rFonts w:ascii="Times New Roman" w:hAnsi="Times New Roman"/>
          <w:b/>
          <w:sz w:val="28"/>
        </w:rPr>
      </w:pPr>
      <w:r w:rsidRPr="00186937">
        <w:rPr>
          <w:rFonts w:ascii="Times New Roman" w:hAnsi="Times New Roman"/>
          <w:b/>
          <w:sz w:val="28"/>
        </w:rPr>
        <w:lastRenderedPageBreak/>
        <w:t>Задача  27.</w:t>
      </w:r>
    </w:p>
    <w:p w:rsidR="00EB2F9A" w:rsidRDefault="00EB2F9A" w:rsidP="00EB2F9A">
      <w:pPr>
        <w:pStyle w:val="ad"/>
        <w:rPr>
          <w:rFonts w:ascii="Times New Roman" w:hAnsi="Times New Roman"/>
          <w:b/>
          <w:sz w:val="28"/>
        </w:rPr>
      </w:pPr>
      <w:r w:rsidRPr="00EB2F9A">
        <w:rPr>
          <w:rFonts w:ascii="Times New Roman" w:hAnsi="Times New Roman"/>
          <w:b/>
          <w:sz w:val="28"/>
        </w:rPr>
        <w:t xml:space="preserve">Предприятие является компанией с показателем риска β = 1,3. Средняя ставка по рынку – 14%. </w:t>
      </w:r>
    </w:p>
    <w:p w:rsidR="00EB2F9A" w:rsidRPr="00EB2F9A" w:rsidRDefault="00EB2F9A" w:rsidP="00EB2F9A">
      <w:pPr>
        <w:pStyle w:val="ad"/>
        <w:rPr>
          <w:rFonts w:ascii="Times New Roman" w:hAnsi="Times New Roman"/>
          <w:b/>
          <w:sz w:val="28"/>
        </w:rPr>
      </w:pPr>
      <w:r w:rsidRPr="00EB2F9A">
        <w:rPr>
          <w:rFonts w:ascii="Times New Roman" w:hAnsi="Times New Roman"/>
          <w:b/>
          <w:sz w:val="28"/>
        </w:rPr>
        <w:t>Безрисковая доходность инвестирования составляет – 8 %. Финансирование проекта предполагается за счет собственных средств.</w:t>
      </w:r>
    </w:p>
    <w:p w:rsidR="00EB2F9A" w:rsidRDefault="00EB2F9A" w:rsidP="00EB2F9A">
      <w:pPr>
        <w:pStyle w:val="ad"/>
        <w:rPr>
          <w:rFonts w:ascii="Times New Roman" w:hAnsi="Times New Roman"/>
          <w:b/>
          <w:sz w:val="28"/>
        </w:rPr>
      </w:pPr>
      <w:r w:rsidRPr="00EB2F9A">
        <w:rPr>
          <w:rFonts w:ascii="Times New Roman" w:hAnsi="Times New Roman"/>
          <w:b/>
          <w:sz w:val="28"/>
          <w:highlight w:val="yellow"/>
        </w:rPr>
        <w:t>Определите стоимость капиталовложений</w:t>
      </w:r>
      <w:r w:rsidRPr="00EB2F9A">
        <w:rPr>
          <w:rFonts w:ascii="Times New Roman" w:hAnsi="Times New Roman"/>
          <w:b/>
          <w:sz w:val="28"/>
        </w:rPr>
        <w:t xml:space="preserve"> инвестиционного проекта и сравните её с величиной </w:t>
      </w:r>
      <w:r w:rsidRPr="00EB2F9A">
        <w:rPr>
          <w:rFonts w:ascii="Times New Roman" w:hAnsi="Times New Roman"/>
          <w:b/>
          <w:sz w:val="28"/>
          <w:highlight w:val="yellow"/>
        </w:rPr>
        <w:t>внутренней нормы доходности</w:t>
      </w:r>
      <w:r w:rsidRPr="00EB2F9A">
        <w:rPr>
          <w:rFonts w:ascii="Times New Roman" w:hAnsi="Times New Roman"/>
          <w:b/>
          <w:sz w:val="28"/>
        </w:rPr>
        <w:t xml:space="preserve"> (IRR) на уровне 24%.</w:t>
      </w:r>
    </w:p>
    <w:p w:rsidR="006A007D" w:rsidRDefault="006A007D" w:rsidP="00EB2F9A">
      <w:pPr>
        <w:pStyle w:val="ad"/>
        <w:rPr>
          <w:rFonts w:ascii="Times New Roman" w:hAnsi="Times New Roman"/>
          <w:b/>
          <w:sz w:val="28"/>
        </w:rPr>
      </w:pPr>
    </w:p>
    <w:p w:rsidR="006A007D" w:rsidRPr="006A007D" w:rsidRDefault="007D0485" w:rsidP="007D0485">
      <w:pPr>
        <w:pStyle w:val="a7"/>
      </w:pPr>
      <w:r>
        <w:rPr>
          <w:shd w:val="clear" w:color="auto" w:fill="FFFFFF"/>
        </w:rPr>
        <w:t>О</w:t>
      </w:r>
      <w:r>
        <w:rPr>
          <w:shd w:val="clear" w:color="auto" w:fill="FFFFFF"/>
        </w:rPr>
        <w:t>жидаемая норма доходности </w:t>
      </w:r>
      <w:r w:rsidR="00FA44F8">
        <w:t>по формуле</w:t>
      </w:r>
      <w:r w:rsidR="006A007D">
        <w:t>:</w:t>
      </w:r>
    </w:p>
    <w:p w:rsidR="00545D93" w:rsidRDefault="00545D93" w:rsidP="00545D93">
      <w:pPr>
        <w:pStyle w:val="ad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position w:val="-12"/>
          <w:sz w:val="24"/>
          <w:szCs w:val="24"/>
          <w:lang w:val="uk-UA"/>
        </w:rPr>
        <w:object w:dxaOrig="2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21.2pt" o:ole="" fillcolor="window">
            <v:imagedata r:id="rId6" o:title=""/>
          </v:shape>
          <o:OLEObject Type="Embed" ProgID="Equation.3" ShapeID="_x0000_i1025" DrawAspect="Content" ObjectID="_1640624169" r:id="rId7"/>
        </w:object>
      </w:r>
    </w:p>
    <w:p w:rsidR="007D0485" w:rsidRDefault="007D0485" w:rsidP="00545D93">
      <w:pPr>
        <w:pStyle w:val="ad"/>
        <w:jc w:val="center"/>
        <w:rPr>
          <w:color w:val="000000"/>
          <w:sz w:val="24"/>
          <w:szCs w:val="24"/>
          <w:lang w:val="uk-UA"/>
        </w:rPr>
      </w:pPr>
    </w:p>
    <w:p w:rsidR="00545D93" w:rsidRDefault="00545D93" w:rsidP="00545D93">
      <w:pPr>
        <w:pStyle w:val="ad"/>
        <w:jc w:val="center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</w:rPr>
              <m:t>е</m:t>
            </m:r>
          </m:sub>
        </m:sSub>
        <m:r>
          <w:rPr>
            <w:rFonts w:ascii="Cambria Math" w:hAnsi="Cambria Math"/>
            <w:sz w:val="28"/>
          </w:rPr>
          <m:t>=8+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14-8</m:t>
            </m:r>
          </m:e>
        </m:d>
        <m:r>
          <w:rPr>
            <w:rFonts w:ascii="Cambria Math" w:hAnsi="Cambria Math"/>
            <w:sz w:val="28"/>
          </w:rPr>
          <m:t>∙1,3</m:t>
        </m:r>
        <m:r>
          <w:rPr>
            <w:rFonts w:ascii="Cambria Math" w:hAnsi="Cambria Math"/>
            <w:sz w:val="28"/>
          </w:rPr>
          <m:t>=15,8</m:t>
        </m:r>
      </m:oMath>
      <w:r w:rsidR="007D0485">
        <w:rPr>
          <w:rFonts w:ascii="Times New Roman" w:hAnsi="Times New Roman"/>
          <w:sz w:val="28"/>
        </w:rPr>
        <w:t xml:space="preserve"> %</w:t>
      </w:r>
    </w:p>
    <w:p w:rsidR="0056551C" w:rsidRPr="0056551C" w:rsidRDefault="0056551C" w:rsidP="0056551C">
      <w:pPr>
        <w:rPr>
          <w:rFonts w:ascii="Times New Roman" w:hAnsi="Times New Roman"/>
          <w:sz w:val="28"/>
        </w:rPr>
      </w:pPr>
      <w:r w:rsidRPr="0056551C">
        <w:rPr>
          <w:rFonts w:ascii="Times New Roman" w:hAnsi="Times New Roman"/>
          <w:sz w:val="28"/>
        </w:rPr>
        <w:t>Средняя ставка по рынку</w:t>
      </w:r>
      <w:r>
        <w:rPr>
          <w:rFonts w:ascii="Times New Roman" w:hAnsi="Times New Roman"/>
          <w:sz w:val="28"/>
        </w:rPr>
        <w:t xml:space="preserve"> 14%, что является меньше чем ожидаемая доходность 15,8% на этом проекте можно немного заработать.</w:t>
      </w:r>
      <w:bookmarkStart w:id="0" w:name="_GoBack"/>
      <w:bookmarkEnd w:id="0"/>
    </w:p>
    <w:p w:rsidR="004835BD" w:rsidRPr="00186937" w:rsidRDefault="00186937" w:rsidP="00186937">
      <w:pPr>
        <w:pStyle w:val="a7"/>
      </w:pPr>
      <w:r w:rsidRPr="00186937">
        <w:br/>
      </w:r>
    </w:p>
    <w:sectPr w:rsidR="004835BD" w:rsidRPr="00186937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1973174"/>
    <w:multiLevelType w:val="multilevel"/>
    <w:tmpl w:val="DD1CFE7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4">
    <w:nsid w:val="71906990"/>
    <w:multiLevelType w:val="hybridMultilevel"/>
    <w:tmpl w:val="F50A3ED2"/>
    <w:lvl w:ilvl="0" w:tplc="C7D25A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2FA39DA"/>
    <w:multiLevelType w:val="hybridMultilevel"/>
    <w:tmpl w:val="A426F6A0"/>
    <w:lvl w:ilvl="0" w:tplc="2E92FAA2">
      <w:start w:val="1"/>
      <w:numFmt w:val="decimal"/>
      <w:lvlText w:val="%1."/>
      <w:lvlJc w:val="left"/>
      <w:pPr>
        <w:ind w:left="1010" w:hanging="4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3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2"/>
  </w:compat>
  <w:rsids>
    <w:rsidRoot w:val="001F5E35"/>
    <w:rsid w:val="00002E6B"/>
    <w:rsid w:val="0002302D"/>
    <w:rsid w:val="00045E82"/>
    <w:rsid w:val="000657CE"/>
    <w:rsid w:val="00081727"/>
    <w:rsid w:val="00084D3D"/>
    <w:rsid w:val="000855AB"/>
    <w:rsid w:val="000F2D4F"/>
    <w:rsid w:val="00123CBC"/>
    <w:rsid w:val="001448AE"/>
    <w:rsid w:val="00166BEC"/>
    <w:rsid w:val="00186937"/>
    <w:rsid w:val="00191098"/>
    <w:rsid w:val="001C4464"/>
    <w:rsid w:val="001F5E35"/>
    <w:rsid w:val="00210538"/>
    <w:rsid w:val="00217722"/>
    <w:rsid w:val="00276FFA"/>
    <w:rsid w:val="002878DC"/>
    <w:rsid w:val="00294635"/>
    <w:rsid w:val="002B3283"/>
    <w:rsid w:val="002D3264"/>
    <w:rsid w:val="002F16F6"/>
    <w:rsid w:val="002F7597"/>
    <w:rsid w:val="0031411D"/>
    <w:rsid w:val="00343118"/>
    <w:rsid w:val="003533C3"/>
    <w:rsid w:val="00357C1D"/>
    <w:rsid w:val="00384AFE"/>
    <w:rsid w:val="00391BF8"/>
    <w:rsid w:val="003B7233"/>
    <w:rsid w:val="003D01BE"/>
    <w:rsid w:val="00406EDE"/>
    <w:rsid w:val="00417300"/>
    <w:rsid w:val="0041791E"/>
    <w:rsid w:val="004438D7"/>
    <w:rsid w:val="004533E8"/>
    <w:rsid w:val="00455FD1"/>
    <w:rsid w:val="004835BD"/>
    <w:rsid w:val="0049738E"/>
    <w:rsid w:val="004E7668"/>
    <w:rsid w:val="004F537E"/>
    <w:rsid w:val="00510B4D"/>
    <w:rsid w:val="005356BC"/>
    <w:rsid w:val="00542540"/>
    <w:rsid w:val="00545D93"/>
    <w:rsid w:val="0056551C"/>
    <w:rsid w:val="005A7EA1"/>
    <w:rsid w:val="005B4C24"/>
    <w:rsid w:val="005C5AEC"/>
    <w:rsid w:val="005D06F9"/>
    <w:rsid w:val="005D7743"/>
    <w:rsid w:val="005F3BF3"/>
    <w:rsid w:val="005F407A"/>
    <w:rsid w:val="0068066B"/>
    <w:rsid w:val="006864D9"/>
    <w:rsid w:val="006A007D"/>
    <w:rsid w:val="006B6E2A"/>
    <w:rsid w:val="006E07FE"/>
    <w:rsid w:val="006E31CB"/>
    <w:rsid w:val="00730DFF"/>
    <w:rsid w:val="007560AD"/>
    <w:rsid w:val="007633F5"/>
    <w:rsid w:val="0078682E"/>
    <w:rsid w:val="007A6061"/>
    <w:rsid w:val="007B3C45"/>
    <w:rsid w:val="007C1E44"/>
    <w:rsid w:val="007D0485"/>
    <w:rsid w:val="007D6B57"/>
    <w:rsid w:val="008128B9"/>
    <w:rsid w:val="00817542"/>
    <w:rsid w:val="00824B94"/>
    <w:rsid w:val="00831E1D"/>
    <w:rsid w:val="00862846"/>
    <w:rsid w:val="00875018"/>
    <w:rsid w:val="008762ED"/>
    <w:rsid w:val="008D5D9A"/>
    <w:rsid w:val="008D6743"/>
    <w:rsid w:val="009023DE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A01732"/>
    <w:rsid w:val="00A474C0"/>
    <w:rsid w:val="00A47F29"/>
    <w:rsid w:val="00AB59E6"/>
    <w:rsid w:val="00AC7C6F"/>
    <w:rsid w:val="00AE47D3"/>
    <w:rsid w:val="00AE62D8"/>
    <w:rsid w:val="00B057DB"/>
    <w:rsid w:val="00B05E44"/>
    <w:rsid w:val="00B2459C"/>
    <w:rsid w:val="00B24F0C"/>
    <w:rsid w:val="00B409FD"/>
    <w:rsid w:val="00B56F58"/>
    <w:rsid w:val="00B61016"/>
    <w:rsid w:val="00B73BC6"/>
    <w:rsid w:val="00B82DC1"/>
    <w:rsid w:val="00B937CB"/>
    <w:rsid w:val="00BC17E0"/>
    <w:rsid w:val="00BE3EB7"/>
    <w:rsid w:val="00C504CE"/>
    <w:rsid w:val="00C83FBF"/>
    <w:rsid w:val="00C92554"/>
    <w:rsid w:val="00CB0C47"/>
    <w:rsid w:val="00CC7358"/>
    <w:rsid w:val="00CF6D88"/>
    <w:rsid w:val="00D03F70"/>
    <w:rsid w:val="00D43948"/>
    <w:rsid w:val="00D75F41"/>
    <w:rsid w:val="00D97F2F"/>
    <w:rsid w:val="00DD010D"/>
    <w:rsid w:val="00DD7D8B"/>
    <w:rsid w:val="00DE0AEC"/>
    <w:rsid w:val="00DE79EB"/>
    <w:rsid w:val="00E20594"/>
    <w:rsid w:val="00E4540C"/>
    <w:rsid w:val="00E56BFC"/>
    <w:rsid w:val="00EA2B4F"/>
    <w:rsid w:val="00EA2D2F"/>
    <w:rsid w:val="00EB2F9A"/>
    <w:rsid w:val="00EB3FCD"/>
    <w:rsid w:val="00EB5F39"/>
    <w:rsid w:val="00ED6DD2"/>
    <w:rsid w:val="00EF14B4"/>
    <w:rsid w:val="00F039D3"/>
    <w:rsid w:val="00F30C79"/>
    <w:rsid w:val="00F3145C"/>
    <w:rsid w:val="00F55447"/>
    <w:rsid w:val="00F7087C"/>
    <w:rsid w:val="00F71174"/>
    <w:rsid w:val="00F81BDF"/>
    <w:rsid w:val="00FA44F8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186937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FB51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3"/>
    <w:next w:val="a7"/>
    <w:link w:val="10"/>
    <w:qFormat/>
    <w:rsid w:val="00FB517C"/>
    <w:pPr>
      <w:numPr>
        <w:numId w:val="14"/>
      </w:numPr>
      <w:jc w:val="center"/>
      <w:outlineLvl w:val="0"/>
    </w:pPr>
    <w:rPr>
      <w:rFonts w:ascii="Times New Roman" w:hAnsi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7"/>
    <w:link w:val="22"/>
    <w:qFormat/>
    <w:rsid w:val="00FB517C"/>
    <w:pPr>
      <w:keepLines w:val="0"/>
      <w:numPr>
        <w:ilvl w:val="1"/>
        <w:numId w:val="14"/>
      </w:numPr>
      <w:spacing w:before="0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2">
    <w:name w:val="К. Название рисунка"/>
    <w:basedOn w:val="a7"/>
    <w:next w:val="a7"/>
    <w:qFormat/>
    <w:rsid w:val="007560AD"/>
    <w:pPr>
      <w:numPr>
        <w:ilvl w:val="8"/>
        <w:numId w:val="14"/>
      </w:numPr>
      <w:jc w:val="center"/>
    </w:pPr>
  </w:style>
  <w:style w:type="paragraph" w:customStyle="1" w:styleId="a7">
    <w:name w:val="К. Основной"/>
    <w:basedOn w:val="a8"/>
    <w:link w:val="a9"/>
    <w:qFormat/>
    <w:rsid w:val="00FB517C"/>
    <w:pPr>
      <w:spacing w:after="0"/>
      <w:ind w:firstLine="720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9">
    <w:name w:val="К. Основной Знак"/>
    <w:link w:val="a7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1">
    <w:name w:val="К. Название таблицы"/>
    <w:basedOn w:val="a7"/>
    <w:next w:val="a7"/>
    <w:qFormat/>
    <w:rsid w:val="007560AD"/>
    <w:pPr>
      <w:numPr>
        <w:ilvl w:val="7"/>
        <w:numId w:val="14"/>
      </w:numPr>
    </w:pPr>
  </w:style>
  <w:style w:type="paragraph" w:customStyle="1" w:styleId="3">
    <w:name w:val="К. заголовок 3"/>
    <w:basedOn w:val="a7"/>
    <w:next w:val="a7"/>
    <w:qFormat/>
    <w:rsid w:val="00FB517C"/>
    <w:pPr>
      <w:numPr>
        <w:ilvl w:val="2"/>
        <w:numId w:val="14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4"/>
    <w:link w:val="a8"/>
    <w:uiPriority w:val="99"/>
    <w:semiHidden/>
    <w:rsid w:val="00FB517C"/>
  </w:style>
  <w:style w:type="character" w:customStyle="1" w:styleId="21">
    <w:name w:val="Заголовок 2 Знак"/>
    <w:basedOn w:val="a4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b">
    <w:name w:val="К. Таблица"/>
    <w:basedOn w:val="a3"/>
    <w:qFormat/>
    <w:rsid w:val="00081727"/>
    <w:pPr>
      <w:jc w:val="center"/>
    </w:pPr>
    <w:rPr>
      <w:rFonts w:ascii="Times New Roman" w:eastAsiaTheme="minorEastAsia" w:hAnsi="Times New Roman"/>
      <w:szCs w:val="24"/>
    </w:rPr>
  </w:style>
  <w:style w:type="paragraph" w:customStyle="1" w:styleId="a">
    <w:name w:val="К. Список литературы"/>
    <w:basedOn w:val="a7"/>
    <w:qFormat/>
    <w:rsid w:val="009023DE"/>
    <w:pPr>
      <w:numPr>
        <w:numId w:val="13"/>
      </w:numPr>
      <w:spacing w:line="360" w:lineRule="auto"/>
    </w:pPr>
  </w:style>
  <w:style w:type="paragraph" w:customStyle="1" w:styleId="a0">
    <w:name w:val="К. Формула №"/>
    <w:basedOn w:val="a7"/>
    <w:next w:val="a7"/>
    <w:qFormat/>
    <w:rsid w:val="009023DE"/>
    <w:pPr>
      <w:numPr>
        <w:ilvl w:val="6"/>
        <w:numId w:val="14"/>
      </w:numPr>
      <w:spacing w:line="360" w:lineRule="auto"/>
      <w:jc w:val="right"/>
    </w:pPr>
  </w:style>
  <w:style w:type="character" w:styleId="ac">
    <w:name w:val="Hyperlink"/>
    <w:basedOn w:val="a4"/>
    <w:uiPriority w:val="99"/>
    <w:semiHidden/>
    <w:unhideWhenUsed/>
    <w:rsid w:val="0078682E"/>
    <w:rPr>
      <w:color w:val="0000FF"/>
      <w:u w:val="single"/>
    </w:rPr>
  </w:style>
  <w:style w:type="paragraph" w:styleId="ad">
    <w:name w:val="List Paragraph"/>
    <w:basedOn w:val="a3"/>
    <w:uiPriority w:val="34"/>
    <w:qFormat/>
    <w:rsid w:val="0018693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e">
    <w:name w:val="Placeholder Text"/>
    <w:basedOn w:val="a4"/>
    <w:uiPriority w:val="99"/>
    <w:semiHidden/>
    <w:rsid w:val="00545D93"/>
    <w:rPr>
      <w:color w:val="808080"/>
    </w:rPr>
  </w:style>
  <w:style w:type="paragraph" w:styleId="af">
    <w:name w:val="Balloon Text"/>
    <w:basedOn w:val="a3"/>
    <w:link w:val="af0"/>
    <w:uiPriority w:val="99"/>
    <w:semiHidden/>
    <w:unhideWhenUsed/>
    <w:rsid w:val="00545D9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4"/>
    <w:link w:val="af"/>
    <w:uiPriority w:val="99"/>
    <w:semiHidden/>
    <w:rsid w:val="00545D9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</dc:creator>
  <cp:keywords/>
  <dc:description/>
  <cp:lastModifiedBy>Antis</cp:lastModifiedBy>
  <cp:revision>15</cp:revision>
  <dcterms:created xsi:type="dcterms:W3CDTF">2020-01-15T15:49:00Z</dcterms:created>
  <dcterms:modified xsi:type="dcterms:W3CDTF">2020-01-15T17:06:00Z</dcterms:modified>
</cp:coreProperties>
</file>