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 w:rsidR="004373A2">
        <w:rPr>
          <w:rFonts w:ascii="Times New Roman" w:eastAsia="Times New Roman" w:hAnsi="Times New Roman" w:cs="Times New Roman"/>
          <w:sz w:val="28"/>
          <w:szCs w:val="24"/>
        </w:rPr>
        <w:t>20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7070C3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51690341" w:history="1">
        <w:r w:rsidR="007070C3" w:rsidRPr="00E46DE9">
          <w:rPr>
            <w:rStyle w:val="ab"/>
            <w:noProof/>
          </w:rPr>
          <w:t>Реферат</w:t>
        </w:r>
        <w:r w:rsidR="007070C3">
          <w:rPr>
            <w:noProof/>
            <w:webHidden/>
          </w:rPr>
          <w:tab/>
        </w:r>
        <w:r w:rsidR="007070C3">
          <w:rPr>
            <w:noProof/>
            <w:webHidden/>
          </w:rPr>
          <w:fldChar w:fldCharType="begin"/>
        </w:r>
        <w:r w:rsidR="007070C3">
          <w:rPr>
            <w:noProof/>
            <w:webHidden/>
          </w:rPr>
          <w:instrText xml:space="preserve"> PAGEREF _Toc51690341 \h </w:instrText>
        </w:r>
        <w:r w:rsidR="007070C3">
          <w:rPr>
            <w:noProof/>
            <w:webHidden/>
          </w:rPr>
        </w:r>
        <w:r w:rsidR="007070C3">
          <w:rPr>
            <w:noProof/>
            <w:webHidden/>
          </w:rPr>
          <w:fldChar w:fldCharType="separate"/>
        </w:r>
        <w:r w:rsidR="007070C3">
          <w:rPr>
            <w:noProof/>
            <w:webHidden/>
          </w:rPr>
          <w:t>3</w:t>
        </w:r>
        <w:r w:rsidR="007070C3"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42" w:history="1">
        <w:r w:rsidRPr="00E46DE9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43" w:history="1">
        <w:r w:rsidRPr="00E46DE9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90344" w:history="1">
        <w:r w:rsidRPr="00E46DE9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E46DE9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90345" w:history="1">
        <w:r w:rsidRPr="00E46DE9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E46DE9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46" w:history="1">
        <w:r w:rsidRPr="00E46DE9">
          <w:rPr>
            <w:rStyle w:val="ab"/>
            <w:noProof/>
          </w:rPr>
          <w:t>2 анализ основных финансово-экономических показателей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90347" w:history="1">
        <w:r w:rsidRPr="00E46DE9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E46DE9">
          <w:rPr>
            <w:rStyle w:val="ab"/>
            <w:noProof/>
          </w:rPr>
          <w:t xml:space="preserve"> Анализ финансирования бюджетной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90348" w:history="1">
        <w:r w:rsidRPr="00E46DE9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E46DE9">
          <w:rPr>
            <w:rStyle w:val="ab"/>
            <w:noProof/>
          </w:rPr>
          <w:t xml:space="preserve"> Анализ ликвидности и платёжеспособности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1690349" w:history="1">
        <w:r w:rsidRPr="00E46DE9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E46DE9">
          <w:rPr>
            <w:rStyle w:val="ab"/>
            <w:noProof/>
          </w:rPr>
          <w:t xml:space="preserve"> Анализ финансово-экономических показателей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50" w:history="1">
        <w:r w:rsidRPr="00E46DE9">
          <w:rPr>
            <w:rStyle w:val="ab"/>
            <w:noProof/>
          </w:rPr>
          <w:t>3 Расчета основных показателей сметного финансирования. ВИДЫ СМЕТ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51" w:history="1">
        <w:r w:rsidRPr="00E46DE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70C3" w:rsidRDefault="007070C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51690352" w:history="1">
        <w:r w:rsidRPr="00E46DE9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626BF2">
      <w:pPr>
        <w:pStyle w:val="1"/>
        <w:numPr>
          <w:ilvl w:val="0"/>
          <w:numId w:val="0"/>
        </w:numPr>
      </w:pPr>
      <w:bookmarkStart w:id="0" w:name="_Toc51690341"/>
      <w:r>
        <w:lastRenderedPageBreak/>
        <w:t>Р</w:t>
      </w:r>
      <w:r w:rsidR="00B94653">
        <w:t>еферат</w:t>
      </w:r>
      <w:bookmarkEnd w:id="0"/>
    </w:p>
    <w:p w:rsidR="00ED3898" w:rsidRDefault="00ED3898" w:rsidP="004373A2">
      <w:pPr>
        <w:pStyle w:val="a4"/>
        <w:tabs>
          <w:tab w:val="left" w:pos="7953"/>
        </w:tabs>
      </w:pPr>
      <w:r>
        <w:t xml:space="preserve">Отчет: </w:t>
      </w:r>
      <w:r w:rsidRPr="004373A2">
        <w:rPr>
          <w:highlight w:val="yellow"/>
        </w:rPr>
        <w:t>39 страниц, 6 таблиц, 6 рисунков, 15</w:t>
      </w:r>
      <w:r>
        <w:t xml:space="preserve"> источников.</w:t>
      </w:r>
      <w:r w:rsidR="004373A2">
        <w:tab/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4373A2">
      <w:pPr>
        <w:pStyle w:val="a4"/>
      </w:pPr>
      <w:r>
        <w:t xml:space="preserve">Предметом исследования являются </w:t>
      </w:r>
      <w:r w:rsidRPr="004373A2">
        <w:rPr>
          <w:highlight w:val="yellow"/>
        </w:rPr>
        <w:t>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4373A2">
      <w:pPr>
        <w:pStyle w:val="a4"/>
      </w:pPr>
      <w:r>
        <w:t xml:space="preserve">В отчете рассмотрены </w:t>
      </w:r>
      <w:r w:rsidRPr="004373A2">
        <w:rPr>
          <w:highlight w:val="yellow"/>
        </w:rPr>
        <w:t>общая характеристика предприятия</w:t>
      </w:r>
      <w:r w:rsidR="00B25B2C" w:rsidRPr="004373A2">
        <w:rPr>
          <w:highlight w:val="yellow"/>
        </w:rPr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 w:rsidRPr="0078641E">
        <w:rPr>
          <w:highlight w:val="yellow"/>
        </w:rP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1" w:name="_Toc51690342"/>
      <w:r w:rsidRPr="00B547F0">
        <w:lastRenderedPageBreak/>
        <w:t>ВВЕДЕНИЕ</w:t>
      </w:r>
      <w:bookmarkEnd w:id="1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A91ACB">
      <w:pPr>
        <w:pStyle w:val="a4"/>
        <w:numPr>
          <w:ilvl w:val="0"/>
          <w:numId w:val="18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A91ACB">
      <w:pPr>
        <w:pStyle w:val="a4"/>
        <w:numPr>
          <w:ilvl w:val="0"/>
          <w:numId w:val="19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A91ACB">
      <w:pPr>
        <w:pStyle w:val="a4"/>
        <w:numPr>
          <w:ilvl w:val="0"/>
          <w:numId w:val="20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A91ACB">
      <w:pPr>
        <w:pStyle w:val="a4"/>
        <w:numPr>
          <w:ilvl w:val="0"/>
          <w:numId w:val="20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A91ACB">
      <w:pPr>
        <w:pStyle w:val="a4"/>
        <w:numPr>
          <w:ilvl w:val="0"/>
          <w:numId w:val="21"/>
        </w:numPr>
      </w:pPr>
      <w:proofErr w:type="gramEnd"/>
      <w:r>
        <w:t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ДНР;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2" w:name="_Toc51690343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51690344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4" w:name="_Ref44855692"/>
      <w:r w:rsidRPr="00791D23">
        <w:t>Основными задачами Управления являются:</w:t>
      </w:r>
      <w:bookmarkEnd w:id="4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5" w:name="_Toc51690345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070C3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46D1E508" wp14:editId="7D4C3653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6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6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A91ACB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A91ACB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C04FA2" w:rsidP="00626BF2">
      <w:pPr>
        <w:pStyle w:val="1"/>
      </w:pPr>
      <w:bookmarkStart w:id="7" w:name="_Toc51690346"/>
      <w:r w:rsidRPr="00C04FA2">
        <w:lastRenderedPageBreak/>
        <w:t>а</w:t>
      </w:r>
      <w:r>
        <w:t>нализ</w:t>
      </w:r>
      <w:r w:rsidRPr="00C04FA2">
        <w:t xml:space="preserve"> основны</w:t>
      </w:r>
      <w:r>
        <w:t>х</w:t>
      </w:r>
      <w:r w:rsidRPr="00C04FA2">
        <w:t xml:space="preserve"> финансово-экономически</w:t>
      </w:r>
      <w:r>
        <w:t>х показателей</w:t>
      </w:r>
      <w:bookmarkEnd w:id="7"/>
    </w:p>
    <w:p w:rsidR="00CF672E" w:rsidRDefault="00CF672E" w:rsidP="00CF672E">
      <w:pPr>
        <w:pStyle w:val="20"/>
      </w:pPr>
      <w:bookmarkStart w:id="8" w:name="_Toc51690347"/>
      <w:r w:rsidRPr="00CF672E">
        <w:t>Анализ финансирования бюджетной организации</w:t>
      </w:r>
      <w:bookmarkEnd w:id="8"/>
    </w:p>
    <w:p w:rsidR="00CF672E" w:rsidRPr="00CF672E" w:rsidRDefault="00CF672E" w:rsidP="00CF672E">
      <w:pPr>
        <w:pStyle w:val="a4"/>
      </w:pPr>
    </w:p>
    <w:p w:rsidR="009766AD" w:rsidRDefault="009766AD" w:rsidP="009766AD">
      <w:pPr>
        <w:pStyle w:val="a4"/>
      </w:pPr>
      <w:r w:rsidRPr="009766AD">
        <w:t>Финансовая деятельность бюджетных организаций состоит в получении, организации движения и использования финансовых ресурсов.</w:t>
      </w:r>
    </w:p>
    <w:p w:rsidR="009766AD" w:rsidRPr="009766AD" w:rsidRDefault="009766AD" w:rsidP="009766AD">
      <w:pPr>
        <w:pStyle w:val="a4"/>
      </w:pPr>
      <w:r>
        <w:t>Контроль над полнотой удовлетворения потребностей организации в денежных ресурсах и эффективностью их использования осуществляется на основе бюджетного нормирования, с учетом бюджетной классификации, которые дают возможность определить сумму затрат на расчетную единицу плана работы и оценить обоснованность затрат по видам и направлениям.</w:t>
      </w:r>
    </w:p>
    <w:p w:rsidR="009766AD" w:rsidRDefault="009766AD" w:rsidP="009766AD">
      <w:pPr>
        <w:pStyle w:val="a4"/>
      </w:pPr>
      <w:r>
        <w:t xml:space="preserve">Существенное  влияние  на  организацию  бухгалтерского  учета, содержание  отчетности,  проведение  </w:t>
      </w:r>
      <w:proofErr w:type="gramStart"/>
      <w:r>
        <w:t>анализа  исполнения  смет  расходов  учреждений</w:t>
      </w:r>
      <w:proofErr w:type="gramEnd"/>
      <w:r>
        <w:t xml:space="preserve">  и  организаций,  финансируемых  из  государственного  бюджета,  оказывает  бюджетная  классификация  (группировка  доходов  и  расходов  бюджета).</w:t>
      </w:r>
    </w:p>
    <w:p w:rsidR="009766AD" w:rsidRDefault="009766AD" w:rsidP="00B9025B">
      <w:pPr>
        <w:pStyle w:val="a4"/>
      </w:pPr>
      <w:r>
        <w:t>Бюджетная  классификация  предполагает  научно  обоснованную  обязательную  группировку  доходов  и  расходов  бюджета  по  однородным  признакам,  закодированным  в  определенном  порядке.  Бюджетная классификация имеет организующее и правовое значение. Первое проявляется  в том, что она позволяет единообразно учитывать доходы и расходы бюджета; составлять  отчетность  об  использовании  бюджета;  осуществлять  контроль  и анализ по каждому виду доходов и расходов; кодировать показатели бюджетов и  отчетов  в  связи  с  необходимостью  их  машинной  обработки.  Правовое значение  бюджетной  классификации  заключается  в  том,  что  все  показатели доходов  и  расходов,  предусмотренные  в  бюджете  и  указанные  в соответствующих  подразделениях  бюджетной  классификации,  являются финансовыми планами, обязательными для исполнения.</w:t>
      </w:r>
    </w:p>
    <w:p w:rsidR="006C0B9A" w:rsidRDefault="006C0B9A" w:rsidP="006C0B9A">
      <w:pPr>
        <w:pStyle w:val="a4"/>
      </w:pPr>
      <w:r>
        <w:lastRenderedPageBreak/>
        <w:t xml:space="preserve">Основными  задачами  анализа  финансирования бюджетных организаций являются: </w:t>
      </w:r>
    </w:p>
    <w:p w:rsidR="006C0B9A" w:rsidRDefault="009D036F" w:rsidP="009D036F">
      <w:pPr>
        <w:pStyle w:val="a4"/>
        <w:numPr>
          <w:ilvl w:val="0"/>
          <w:numId w:val="22"/>
        </w:numPr>
      </w:pPr>
      <w:r>
        <w:t>оценка  обеспеченности  ор</w:t>
      </w:r>
      <w:r w:rsidR="006C0B9A">
        <w:t xml:space="preserve">ганизации  финансовыми  ресурсами  и использования их по целевому назначению;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характеристика  состояния  расчетов  и  запасов  товарно-материальных ценностей (ТМЦ);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 причин  финансовых  нарушений  и  затруднения финансирования;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 xml:space="preserve">выявление резервов улучшения финансового состояния организаций и </w:t>
      </w:r>
    </w:p>
    <w:p w:rsidR="006C0B9A" w:rsidRDefault="006C0B9A" w:rsidP="009D036F">
      <w:pPr>
        <w:pStyle w:val="a4"/>
        <w:numPr>
          <w:ilvl w:val="0"/>
          <w:numId w:val="22"/>
        </w:numPr>
      </w:pPr>
      <w:r>
        <w:t>разработка меропри</w:t>
      </w:r>
      <w:r w:rsidR="007226EF">
        <w:t xml:space="preserve">ятий по их реализации.  </w:t>
      </w:r>
    </w:p>
    <w:p w:rsidR="007226EF" w:rsidRDefault="007226EF" w:rsidP="007226EF">
      <w:pPr>
        <w:pStyle w:val="a4"/>
      </w:pPr>
      <w:r>
        <w:t xml:space="preserve">Финансирование  расходов  организация,  содержащихся  за  счет  средств бюджета,  осуществляется  органами  государственного  казначейства.  Его </w:t>
      </w:r>
    </w:p>
    <w:p w:rsidR="007226EF" w:rsidRDefault="007226EF" w:rsidP="007226EF">
      <w:pPr>
        <w:pStyle w:val="a4"/>
      </w:pPr>
      <w:r>
        <w:t xml:space="preserve">территориальные органы перечисляют средства в пределах сметных назначений распорядителя  средств  (организации)  по  предъявленным  им  платежным поручениям на счета:  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>поставщиков  –  за  поставленные  товары,  оказанные  услуги, выполненные работы;</w:t>
      </w:r>
    </w:p>
    <w:p w:rsidR="007226EF" w:rsidRDefault="007226EF" w:rsidP="007226EF">
      <w:pPr>
        <w:pStyle w:val="a4"/>
        <w:numPr>
          <w:ilvl w:val="0"/>
          <w:numId w:val="23"/>
        </w:numPr>
      </w:pPr>
      <w:r>
        <w:t xml:space="preserve">получателей – по обязательным расчетам и нетоварным операциям; </w:t>
      </w:r>
    </w:p>
    <w:p w:rsidR="007226EF" w:rsidRDefault="007226EF" w:rsidP="000F7974">
      <w:pPr>
        <w:pStyle w:val="a4"/>
        <w:numPr>
          <w:ilvl w:val="0"/>
          <w:numId w:val="23"/>
        </w:numPr>
      </w:pPr>
      <w:r>
        <w:t>на  текущий  счет  организации  в  банке  –  для  получения  нали</w:t>
      </w:r>
      <w:r w:rsidR="00564D0F">
        <w:t xml:space="preserve">чных </w:t>
      </w:r>
      <w:r w:rsidR="000F7974">
        <w:t>денежных  средств  и  осуществления  расчетов  по  предъявленным  платежным требованиям и платежным поручениям, акцептованным банком.</w:t>
      </w:r>
    </w:p>
    <w:p w:rsidR="009108F6" w:rsidRDefault="009108F6" w:rsidP="009108F6">
      <w:pPr>
        <w:pStyle w:val="a4"/>
      </w:pPr>
      <w:r>
        <w:t>При  анализе  финансирования  устанавливается  также  полнота  обеспечения  организации  бюджетными  ассигнованиями  для  организации  нормальной работы. Выявляют факты задержки расчетов в связи с отсутствием сред</w:t>
      </w:r>
      <w:r w:rsidR="00060677">
        <w:t xml:space="preserve">ств. </w:t>
      </w:r>
    </w:p>
    <w:p w:rsidR="00060677" w:rsidRDefault="00060677" w:rsidP="009108F6">
      <w:pPr>
        <w:pStyle w:val="a4"/>
      </w:pPr>
    </w:p>
    <w:p w:rsidR="00060677" w:rsidRDefault="00060677" w:rsidP="009108F6">
      <w:pPr>
        <w:pStyle w:val="a4"/>
      </w:pPr>
    </w:p>
    <w:p w:rsidR="00060677" w:rsidRDefault="00060677" w:rsidP="00060677">
      <w:pPr>
        <w:pStyle w:val="20"/>
      </w:pPr>
      <w:bookmarkStart w:id="9" w:name="_Toc51690348"/>
      <w:r w:rsidRPr="00060677">
        <w:lastRenderedPageBreak/>
        <w:t>Анализ ликвидности и платёжеспособности</w:t>
      </w:r>
      <w:bookmarkEnd w:id="9"/>
    </w:p>
    <w:p w:rsidR="00564D0F" w:rsidRDefault="00564D0F" w:rsidP="007226EF">
      <w:pPr>
        <w:pStyle w:val="a4"/>
      </w:pPr>
    </w:p>
    <w:p w:rsidR="00564D0F" w:rsidRDefault="00564D0F" w:rsidP="007226EF">
      <w:pPr>
        <w:pStyle w:val="a4"/>
      </w:pPr>
    </w:p>
    <w:p w:rsidR="002775F1" w:rsidRDefault="002775F1" w:rsidP="002775F1">
      <w:pPr>
        <w:pStyle w:val="a4"/>
      </w:pPr>
      <w:r>
        <w:t>Для  оценки  платежеспособности  организации  был  проведен  анализ ликвидности баланса (представлен в таблице 2.2).</w:t>
      </w:r>
    </w:p>
    <w:p w:rsidR="002775F1" w:rsidRDefault="002775F1" w:rsidP="002775F1">
      <w:pPr>
        <w:pStyle w:val="a4"/>
      </w:pPr>
      <w:r>
        <w:t xml:space="preserve">Баланс  является  неликвидным.  Трудно  реализуемых  активов недостаточно  для  покрытия  постоянных  пассивов.  Однако  в  организации  нет наиболее срочных обязательств, так как нет краткосрочных займов и кредитов. Поэтому  наиболее  срочные  обязательства  могут  пойти  на  покрытие краткосрочных пассивов совместно с быстро реализуемыми активами. Хотя это и  не  сделает  баланс  организации  </w:t>
      </w:r>
      <w:proofErr w:type="gramStart"/>
      <w:r>
        <w:t>абсолютно  ликвидным</w:t>
      </w:r>
      <w:proofErr w:type="gramEnd"/>
      <w:r>
        <w:t>,  то  по  крайне  мере приблизит его к данному состоянию.</w:t>
      </w:r>
    </w:p>
    <w:p w:rsidR="002775F1" w:rsidRDefault="002775F1" w:rsidP="002775F1">
      <w:pPr>
        <w:pStyle w:val="a0"/>
      </w:pPr>
      <w:r w:rsidRPr="002775F1">
        <w:t>Группы статей баланса в зависимости от их ликвидности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775F1" w:rsidTr="002775F1">
        <w:tc>
          <w:tcPr>
            <w:tcW w:w="4926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Наименование </w:t>
            </w:r>
          </w:p>
        </w:tc>
        <w:tc>
          <w:tcPr>
            <w:tcW w:w="4927" w:type="dxa"/>
          </w:tcPr>
          <w:p w:rsidR="002775F1" w:rsidRPr="0065146C" w:rsidRDefault="002775F1" w:rsidP="0065146C">
            <w:pPr>
              <w:pStyle w:val="af3"/>
            </w:pPr>
            <w:r w:rsidRPr="0065146C">
              <w:t xml:space="preserve">Расшифровка </w:t>
            </w:r>
          </w:p>
        </w:tc>
      </w:tr>
      <w:tr w:rsidR="0065146C" w:rsidTr="002775F1">
        <w:tc>
          <w:tcPr>
            <w:tcW w:w="4926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7" w:type="dxa"/>
          </w:tcPr>
          <w:p w:rsidR="0065146C" w:rsidRPr="0065146C" w:rsidRDefault="0065146C" w:rsidP="0065146C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Активы: </w:t>
            </w:r>
          </w:p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1</w:t>
            </w:r>
            <w:proofErr w:type="gramEnd"/>
            <w:r>
              <w:t xml:space="preserve"> – наиболее ликвидные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Денежные средства и краткосрочные финансовые вложения</w:t>
            </w:r>
          </w:p>
        </w:tc>
      </w:tr>
      <w:tr w:rsidR="002775F1" w:rsidTr="0065146C">
        <w:tc>
          <w:tcPr>
            <w:tcW w:w="4926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2</w:t>
            </w:r>
            <w:proofErr w:type="gramEnd"/>
            <w:r>
              <w:t xml:space="preserve"> – быстро реализуемые активы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Дебиторская задолженность сроком погашения до 12 месяцев</w:t>
            </w:r>
          </w:p>
        </w:tc>
      </w:tr>
      <w:tr w:rsidR="002775F1" w:rsidTr="0065146C">
        <w:tc>
          <w:tcPr>
            <w:tcW w:w="4926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 xml:space="preserve">А3 – медленно реализуемые активы 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2775F1" w:rsidRDefault="002775F1" w:rsidP="0065146C">
            <w:pPr>
              <w:pStyle w:val="af3"/>
            </w:pPr>
            <w:r>
              <w:t>Материальные оборотные активы, НДС по приобретенным ценностям, долгосрочная дебиторская задолженность, прочие оборотные активы и долгосрочные финансовые вложения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А</w:t>
            </w:r>
            <w:proofErr w:type="gramStart"/>
            <w:r>
              <w:t>4</w:t>
            </w:r>
            <w:proofErr w:type="gramEnd"/>
            <w:r>
              <w:t xml:space="preserve"> – трудно реализуемые активы 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Внеоборотные активы без долгосрочных финансовых вложений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 xml:space="preserve">Пассивы: </w:t>
            </w:r>
          </w:p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1</w:t>
            </w:r>
            <w:proofErr w:type="gramEnd"/>
            <w:r>
              <w:t xml:space="preserve"> - наиболее срочные обязательства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Кредиторская задолженность учредителям по выплате доходов, прочие краткосрочные обязательства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2</w:t>
            </w:r>
            <w:proofErr w:type="gramEnd"/>
            <w:r>
              <w:t xml:space="preserve"> – краткосрочные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Краткосрочные кредиты и займы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П3 – долгосрочные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 xml:space="preserve">Долгосрочные обязательства </w:t>
            </w:r>
          </w:p>
        </w:tc>
      </w:tr>
      <w:tr w:rsidR="002775F1" w:rsidTr="002775F1">
        <w:tc>
          <w:tcPr>
            <w:tcW w:w="4926" w:type="dxa"/>
          </w:tcPr>
          <w:p w:rsidR="002775F1" w:rsidRDefault="002775F1" w:rsidP="0065146C">
            <w:pPr>
              <w:pStyle w:val="af3"/>
            </w:pPr>
            <w:r>
              <w:t>П</w:t>
            </w:r>
            <w:proofErr w:type="gramStart"/>
            <w:r>
              <w:t>4</w:t>
            </w:r>
            <w:proofErr w:type="gramEnd"/>
            <w:r>
              <w:t xml:space="preserve"> – постоянные пассивы</w:t>
            </w:r>
          </w:p>
        </w:tc>
        <w:tc>
          <w:tcPr>
            <w:tcW w:w="4927" w:type="dxa"/>
          </w:tcPr>
          <w:p w:rsidR="002775F1" w:rsidRDefault="002775F1" w:rsidP="0065146C">
            <w:pPr>
              <w:pStyle w:val="af3"/>
            </w:pPr>
            <w:r>
              <w:t>Собственные средства организации (капитал и резервы), доходы будущих периодов и резервы предстоящих расходов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3112F3">
      <w:pPr>
        <w:pStyle w:val="a0"/>
        <w:numPr>
          <w:ilvl w:val="0"/>
          <w:numId w:val="0"/>
        </w:numPr>
        <w:ind w:left="720"/>
      </w:pPr>
    </w:p>
    <w:p w:rsidR="003112F3" w:rsidRDefault="003112F3" w:rsidP="003112F3">
      <w:pPr>
        <w:pStyle w:val="a0"/>
        <w:sectPr w:rsidR="003112F3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775F1" w:rsidRDefault="003112F3" w:rsidP="003112F3">
      <w:pPr>
        <w:pStyle w:val="a0"/>
      </w:pPr>
      <w:r w:rsidRPr="003112F3">
        <w:lastRenderedPageBreak/>
        <w:t xml:space="preserve">Анализ ликвидности по балансовой модели </w:t>
      </w:r>
      <w:r w:rsidRPr="003112F3">
        <w:cr/>
      </w:r>
    </w:p>
    <w:tbl>
      <w:tblPr>
        <w:tblStyle w:val="af2"/>
        <w:tblW w:w="5434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362"/>
        <w:gridCol w:w="1403"/>
        <w:gridCol w:w="1403"/>
        <w:gridCol w:w="1403"/>
        <w:gridCol w:w="1388"/>
        <w:gridCol w:w="1400"/>
        <w:gridCol w:w="1400"/>
        <w:gridCol w:w="1400"/>
        <w:gridCol w:w="1400"/>
        <w:gridCol w:w="1400"/>
        <w:gridCol w:w="1493"/>
      </w:tblGrid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АКТИВ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ПАССИВ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2013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2014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  <w:tc>
          <w:tcPr>
            <w:tcW w:w="485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2015 </w:t>
            </w:r>
          </w:p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(</w:t>
            </w:r>
            <w:proofErr w:type="spellStart"/>
            <w:r w:rsidRPr="0016797A">
              <w:rPr>
                <w:sz w:val="28"/>
                <w:szCs w:val="28"/>
              </w:rPr>
              <w:t>тыс</w:t>
            </w:r>
            <w:proofErr w:type="gramStart"/>
            <w:r w:rsidRPr="0016797A">
              <w:rPr>
                <w:sz w:val="28"/>
                <w:szCs w:val="28"/>
              </w:rPr>
              <w:t>.р</w:t>
            </w:r>
            <w:proofErr w:type="gramEnd"/>
            <w:r w:rsidRPr="0016797A">
              <w:rPr>
                <w:sz w:val="28"/>
                <w:szCs w:val="28"/>
              </w:rPr>
              <w:t>уб</w:t>
            </w:r>
            <w:proofErr w:type="spellEnd"/>
            <w:r w:rsidRPr="0016797A">
              <w:rPr>
                <w:sz w:val="28"/>
                <w:szCs w:val="28"/>
              </w:rPr>
              <w:t>.)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4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49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453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</w:p>
        </w:tc>
        <w:tc>
          <w:tcPr>
            <w:tcW w:w="1390" w:type="pct"/>
            <w:gridSpan w:val="3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Излишек или недостаток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0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170485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214527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427546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441939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939451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697759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499448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555728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640013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-57 509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383 723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57 746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410043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113145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195167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726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844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409 317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112 301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195 164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А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97849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99168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103566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П</w:t>
            </w:r>
            <w:proofErr w:type="gramStart"/>
            <w:r w:rsidRPr="0016797A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620142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809719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784022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-522293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-710551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 xml:space="preserve">-680456 </w:t>
            </w:r>
          </w:p>
        </w:tc>
      </w:tr>
      <w:tr w:rsidR="0016797A" w:rsidTr="0016797A">
        <w:tc>
          <w:tcPr>
            <w:tcW w:w="441" w:type="pct"/>
          </w:tcPr>
          <w:p w:rsidR="003112F3" w:rsidRPr="0016797A" w:rsidRDefault="003112F3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4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49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БАЛАНС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1120316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1366291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1424038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53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  <w:tc>
          <w:tcPr>
            <w:tcW w:w="485" w:type="pct"/>
          </w:tcPr>
          <w:p w:rsidR="003112F3" w:rsidRPr="0016797A" w:rsidRDefault="00143517" w:rsidP="0016797A">
            <w:pPr>
              <w:pStyle w:val="af3"/>
              <w:rPr>
                <w:sz w:val="28"/>
                <w:szCs w:val="28"/>
              </w:rPr>
            </w:pPr>
            <w:r w:rsidRPr="0016797A">
              <w:rPr>
                <w:sz w:val="28"/>
                <w:szCs w:val="28"/>
              </w:rPr>
              <w:t>-</w:t>
            </w:r>
          </w:p>
        </w:tc>
      </w:tr>
    </w:tbl>
    <w:p w:rsidR="002775F1" w:rsidRDefault="002775F1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</w:pPr>
    </w:p>
    <w:p w:rsidR="003112F3" w:rsidRDefault="003112F3" w:rsidP="002775F1">
      <w:pPr>
        <w:pStyle w:val="a4"/>
        <w:sectPr w:rsidR="003112F3" w:rsidSect="003112F3">
          <w:pgSz w:w="16838" w:h="11906" w:orient="landscape"/>
          <w:pgMar w:top="851" w:right="1418" w:bottom="1418" w:left="1418" w:header="709" w:footer="709" w:gutter="0"/>
          <w:cols w:space="708"/>
          <w:docGrid w:linePitch="360"/>
        </w:sectPr>
      </w:pPr>
    </w:p>
    <w:p w:rsidR="003B2064" w:rsidRDefault="003B2064" w:rsidP="00885DF9">
      <w:pPr>
        <w:pStyle w:val="a4"/>
        <w:numPr>
          <w:ilvl w:val="0"/>
          <w:numId w:val="25"/>
        </w:numPr>
      </w:pPr>
      <w:r>
        <w:lastRenderedPageBreak/>
        <w:t xml:space="preserve">Коэффициент текущей ликвидности = Оборотные Средства / краткосрочный пассив.  </w:t>
      </w:r>
      <w:r>
        <w:cr/>
      </w:r>
    </w:p>
    <w:p w:rsidR="003B2064" w:rsidRPr="003B2064" w:rsidRDefault="003B2064" w:rsidP="003B2064">
      <w:pPr>
        <w:pStyle w:val="a0"/>
      </w:pPr>
      <w:r w:rsidRPr="003B2064">
        <w:t>Расчет ко</w:t>
      </w:r>
      <w:r>
        <w:t xml:space="preserve">эффициента текущей ликвидности </w:t>
      </w:r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472"/>
        <w:gridCol w:w="1623"/>
        <w:gridCol w:w="2099"/>
        <w:gridCol w:w="1485"/>
        <w:gridCol w:w="1760"/>
        <w:gridCol w:w="1875"/>
      </w:tblGrid>
      <w:tr w:rsidR="003B2064" w:rsidTr="001174FA">
        <w:trPr>
          <w:trHeight w:val="705"/>
        </w:trPr>
        <w:tc>
          <w:tcPr>
            <w:tcW w:w="1472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2099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3245" w:type="dxa"/>
            <w:gridSpan w:val="2"/>
          </w:tcPr>
          <w:p w:rsidR="003B2064" w:rsidRDefault="003B2064" w:rsidP="001174FA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1875" w:type="dxa"/>
            <w:vMerge w:val="restart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3B2064" w:rsidTr="001174FA">
        <w:trPr>
          <w:trHeight w:val="750"/>
        </w:trPr>
        <w:tc>
          <w:tcPr>
            <w:tcW w:w="1472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623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2099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3B2064" w:rsidRDefault="003B2064" w:rsidP="001174FA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1875" w:type="dxa"/>
            <w:vMerge/>
          </w:tcPr>
          <w:p w:rsidR="003B2064" w:rsidRDefault="003B2064" w:rsidP="001174FA">
            <w:pPr>
              <w:pStyle w:val="a4"/>
              <w:ind w:firstLine="0"/>
              <w:jc w:val="center"/>
            </w:pP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2,04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2,28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111,76</w:t>
            </w:r>
          </w:p>
        </w:tc>
      </w:tr>
      <w:tr w:rsidR="003B2064" w:rsidTr="001174FA">
        <w:tc>
          <w:tcPr>
            <w:tcW w:w="1472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1623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2099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1485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1760" w:type="dxa"/>
          </w:tcPr>
          <w:p w:rsidR="003B2064" w:rsidRDefault="003B2064" w:rsidP="001174FA">
            <w:pPr>
              <w:pStyle w:val="a4"/>
              <w:ind w:firstLine="0"/>
              <w:jc w:val="center"/>
            </w:pPr>
            <w:r w:rsidRPr="003B2064">
              <w:t>2,06</w:t>
            </w:r>
          </w:p>
        </w:tc>
        <w:tc>
          <w:tcPr>
            <w:tcW w:w="1875" w:type="dxa"/>
          </w:tcPr>
          <w:p w:rsidR="003B2064" w:rsidRDefault="001174FA" w:rsidP="001174FA">
            <w:pPr>
              <w:pStyle w:val="a4"/>
              <w:ind w:firstLine="0"/>
              <w:jc w:val="center"/>
            </w:pPr>
            <w:r w:rsidRPr="001174FA">
              <w:t>90,35</w:t>
            </w:r>
          </w:p>
        </w:tc>
      </w:tr>
    </w:tbl>
    <w:p w:rsidR="001174FA" w:rsidRDefault="001174FA" w:rsidP="00B9025B">
      <w:pPr>
        <w:pStyle w:val="a4"/>
      </w:pPr>
      <w:r>
        <w:t xml:space="preserve">На 1 рубль текущей краткосрочной задолженности в 2015 г. приходится 2,06 рубля оборотных средств; 2,04 рубля - в 2013г., что соответствует нормативному значению. Показатель характеризует достаточной  обеспеченностью оборотными средствами  и  возможностью  своевременного  погашения  текущих  обязательств. Наблюдается незначительное снижение показателя к 2015 году. Динамика значений коэффициентов ликвидности представлена на </w:t>
      </w:r>
      <w:r w:rsidRPr="00016CB9">
        <w:t xml:space="preserve">рисунке </w:t>
      </w:r>
      <w:r w:rsidR="00016CB9" w:rsidRPr="00016CB9">
        <w:fldChar w:fldCharType="begin"/>
      </w:r>
      <w:r w:rsidR="00016CB9" w:rsidRPr="00016CB9">
        <w:instrText xml:space="preserve"> REF  _Ref51690270 \h \r \t </w:instrText>
      </w:r>
      <w:r w:rsidR="00016CB9">
        <w:instrText xml:space="preserve"> \* MERGEFORMAT </w:instrText>
      </w:r>
      <w:r w:rsidR="00016CB9" w:rsidRPr="00016CB9">
        <w:fldChar w:fldCharType="separate"/>
      </w:r>
      <w:r w:rsidR="007070C3">
        <w:t>2.1</w:t>
      </w:r>
      <w:r w:rsidR="00016CB9" w:rsidRPr="00016CB9">
        <w:fldChar w:fldCharType="end"/>
      </w:r>
      <w:r w:rsidRPr="00016CB9">
        <w:t>.</w:t>
      </w:r>
    </w:p>
    <w:p w:rsidR="001174FA" w:rsidRDefault="001174FA" w:rsidP="00885DF9">
      <w:pPr>
        <w:pStyle w:val="a4"/>
        <w:ind w:firstLine="0"/>
      </w:pPr>
      <w:r>
        <w:rPr>
          <w:noProof/>
        </w:rPr>
        <w:drawing>
          <wp:inline distT="0" distB="0" distL="0" distR="0" wp14:anchorId="1787AB12" wp14:editId="4ABA8337">
            <wp:extent cx="6219825" cy="29146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74FA" w:rsidRDefault="00E54022" w:rsidP="00E54022">
      <w:pPr>
        <w:pStyle w:val="a2"/>
      </w:pPr>
      <w:bookmarkStart w:id="10" w:name="_Ref51690270"/>
      <w:r w:rsidRPr="00E54022">
        <w:t>Динамика значений коэффициентов текущей ликвидности</w:t>
      </w:r>
      <w:bookmarkEnd w:id="10"/>
    </w:p>
    <w:p w:rsidR="003B2064" w:rsidRDefault="00885DF9" w:rsidP="00885DF9">
      <w:pPr>
        <w:pStyle w:val="a4"/>
        <w:numPr>
          <w:ilvl w:val="0"/>
          <w:numId w:val="25"/>
        </w:numPr>
      </w:pPr>
      <w:r>
        <w:lastRenderedPageBreak/>
        <w:t>Коэффициент быстрой ликвидности = (Оборотные средства – запасы) / краткосрочный пассив</w:t>
      </w:r>
      <w:r w:rsidR="006273AB">
        <w:t xml:space="preserve">. </w:t>
      </w:r>
    </w:p>
    <w:p w:rsidR="006273AB" w:rsidRDefault="006273AB" w:rsidP="006273AB">
      <w:pPr>
        <w:pStyle w:val="a0"/>
      </w:pPr>
      <w:r w:rsidRPr="006273AB">
        <w:t>Расчет коэффициента быст</w:t>
      </w:r>
      <w:r>
        <w:t xml:space="preserve">рой ликвидности 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49"/>
        <w:gridCol w:w="1544"/>
        <w:gridCol w:w="1198"/>
        <w:gridCol w:w="2068"/>
        <w:gridCol w:w="1386"/>
        <w:gridCol w:w="1735"/>
        <w:gridCol w:w="973"/>
      </w:tblGrid>
      <w:tr w:rsidR="006273AB" w:rsidTr="008D1AC5">
        <w:trPr>
          <w:trHeight w:val="705"/>
        </w:trPr>
        <w:tc>
          <w:tcPr>
            <w:tcW w:w="484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 xml:space="preserve">Оборотные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611" w:type="pct"/>
            <w:vMerge w:val="restart"/>
          </w:tcPr>
          <w:p w:rsidR="006273AB" w:rsidRDefault="006273AB" w:rsidP="006273AB">
            <w:pPr>
              <w:pStyle w:val="a4"/>
              <w:jc w:val="center"/>
            </w:pPr>
            <w:r>
              <w:t xml:space="preserve">Запасы, </w:t>
            </w:r>
          </w:p>
          <w:p w:rsidR="006273AB" w:rsidRDefault="006273AB" w:rsidP="006273AB">
            <w:pPr>
              <w:pStyle w:val="a4"/>
              <w:ind w:firstLine="0"/>
              <w:jc w:val="center"/>
            </w:pP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056" w:type="pct"/>
            <w:vMerge w:val="restart"/>
          </w:tcPr>
          <w:p w:rsidR="006273AB" w:rsidRDefault="006273AB" w:rsidP="006273AB">
            <w:pPr>
              <w:pStyle w:val="a4"/>
              <w:ind w:firstLine="0"/>
            </w:pPr>
            <w:r>
              <w:t xml:space="preserve">Краткосрочный 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566" w:type="pct"/>
            <w:gridSpan w:val="2"/>
          </w:tcPr>
          <w:p w:rsidR="006273AB" w:rsidRDefault="006273AB" w:rsidP="000222E8">
            <w:pPr>
              <w:pStyle w:val="a4"/>
              <w:jc w:val="center"/>
            </w:pPr>
            <w:r>
              <w:t>Коэффициент текущей ликвидности</w:t>
            </w:r>
          </w:p>
        </w:tc>
        <w:tc>
          <w:tcPr>
            <w:tcW w:w="496" w:type="pct"/>
            <w:vMerge w:val="restar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Темп роста,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%</w:t>
            </w:r>
          </w:p>
        </w:tc>
      </w:tr>
      <w:tr w:rsidR="006273AB" w:rsidTr="008D1AC5">
        <w:trPr>
          <w:trHeight w:val="750"/>
        </w:trPr>
        <w:tc>
          <w:tcPr>
            <w:tcW w:w="484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788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11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1056" w:type="pct"/>
            <w:vMerge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</w:p>
        </w:tc>
        <w:tc>
          <w:tcPr>
            <w:tcW w:w="681" w:type="pct"/>
          </w:tcPr>
          <w:p w:rsidR="006273AB" w:rsidRDefault="008D1AC5" w:rsidP="000222E8">
            <w:pPr>
              <w:pStyle w:val="a4"/>
              <w:ind w:firstLine="0"/>
              <w:jc w:val="center"/>
            </w:pPr>
            <w:r>
              <w:t>Н</w:t>
            </w:r>
            <w:r w:rsidR="006273AB" w:rsidRPr="003B2064">
              <w:t>орматив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6273AB" w:rsidRDefault="006273AB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496" w:type="pct"/>
            <w:vMerge/>
          </w:tcPr>
          <w:p w:rsidR="006273AB" w:rsidRDefault="006273AB" w:rsidP="000222E8">
            <w:pPr>
              <w:pStyle w:val="a4"/>
              <w:ind w:firstLine="0"/>
              <w:jc w:val="center"/>
            </w:pP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1022467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408053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499448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1,230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1267123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83721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555728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 xml:space="preserve">2,129 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173,08</w:t>
            </w:r>
          </w:p>
        </w:tc>
      </w:tr>
      <w:tr w:rsidR="006273AB" w:rsidTr="008D1AC5">
        <w:tc>
          <w:tcPr>
            <w:tcW w:w="484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788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1174FA">
              <w:t>1320472</w:t>
            </w:r>
          </w:p>
        </w:tc>
        <w:tc>
          <w:tcPr>
            <w:tcW w:w="61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>166971</w:t>
            </w:r>
          </w:p>
        </w:tc>
        <w:tc>
          <w:tcPr>
            <w:tcW w:w="1056" w:type="pct"/>
          </w:tcPr>
          <w:p w:rsidR="006273AB" w:rsidRPr="003B2064" w:rsidRDefault="006273AB" w:rsidP="000222E8">
            <w:pPr>
              <w:pStyle w:val="a4"/>
              <w:ind w:firstLine="0"/>
              <w:jc w:val="center"/>
            </w:pPr>
            <w:r w:rsidRPr="006273AB">
              <w:t>640013</w:t>
            </w:r>
          </w:p>
        </w:tc>
        <w:tc>
          <w:tcPr>
            <w:tcW w:w="681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3B2064">
              <w:t>&gt; 1</w:t>
            </w:r>
          </w:p>
        </w:tc>
        <w:tc>
          <w:tcPr>
            <w:tcW w:w="885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 xml:space="preserve">1,8  </w:t>
            </w:r>
          </w:p>
        </w:tc>
        <w:tc>
          <w:tcPr>
            <w:tcW w:w="496" w:type="pct"/>
          </w:tcPr>
          <w:p w:rsidR="006273AB" w:rsidRDefault="006273AB" w:rsidP="000222E8">
            <w:pPr>
              <w:pStyle w:val="a4"/>
              <w:ind w:firstLine="0"/>
              <w:jc w:val="center"/>
            </w:pPr>
            <w:r w:rsidRPr="006273AB">
              <w:t xml:space="preserve">84,54 </w:t>
            </w:r>
          </w:p>
        </w:tc>
      </w:tr>
    </w:tbl>
    <w:p w:rsidR="00885DF9" w:rsidRPr="007070C3" w:rsidRDefault="008D1AC5" w:rsidP="008D1AC5">
      <w:pPr>
        <w:pStyle w:val="a4"/>
        <w:rPr>
          <w:lang w:val="en-US"/>
        </w:rPr>
      </w:pPr>
      <w:r>
        <w:t xml:space="preserve">Коэффициент  отражает  способность  организации  погашать  свои  текущие обязательства. Значение соответствует  </w:t>
      </w:r>
      <w:proofErr w:type="gramStart"/>
      <w:r>
        <w:t>нормативному</w:t>
      </w:r>
      <w:proofErr w:type="gramEnd"/>
      <w:r>
        <w:t xml:space="preserve">, это свидетельствует о том, что  суммы  наиболее  ликвидных  и  быстрореализуемых  активов  у  организации достаточно для покрытия его краткосрочных обязательств. Динамика  значений  коэффициентов  быстрой  ликвидности  представлена  на  </w:t>
      </w:r>
      <w:r w:rsidR="00697D5D">
        <w:fldChar w:fldCharType="begin"/>
      </w:r>
      <w:r w:rsidR="00697D5D">
        <w:instrText xml:space="preserve"> REF  _Ref51690327 \h \r \t </w:instrText>
      </w:r>
      <w:r w:rsidR="00697D5D">
        <w:fldChar w:fldCharType="separate"/>
      </w:r>
      <w:r w:rsidR="007070C3">
        <w:t>2.2</w:t>
      </w:r>
      <w:r w:rsidR="00697D5D">
        <w:fldChar w:fldCharType="end"/>
      </w:r>
      <w:r w:rsidR="007070C3">
        <w:rPr>
          <w:lang w:val="en-US"/>
        </w:rPr>
        <w:t>.</w:t>
      </w:r>
    </w:p>
    <w:p w:rsidR="00885DF9" w:rsidRDefault="008D1AC5" w:rsidP="00B9025B">
      <w:pPr>
        <w:pStyle w:val="a4"/>
      </w:pPr>
      <w:r>
        <w:rPr>
          <w:noProof/>
        </w:rPr>
        <w:drawing>
          <wp:inline distT="0" distB="0" distL="0" distR="0" wp14:anchorId="41002414" wp14:editId="3D74EF5A">
            <wp:extent cx="5695950" cy="23050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1AC5" w:rsidRDefault="006A15DF" w:rsidP="006A15DF">
      <w:pPr>
        <w:pStyle w:val="a2"/>
      </w:pPr>
      <w:bookmarkStart w:id="11" w:name="_Ref51690327"/>
      <w:r w:rsidRPr="006A15DF">
        <w:t>Динамика значений коэффициентов быстрой ликвидности</w:t>
      </w:r>
      <w:bookmarkEnd w:id="11"/>
    </w:p>
    <w:p w:rsidR="00885DF9" w:rsidRDefault="005F0F43" w:rsidP="005F0F43">
      <w:pPr>
        <w:pStyle w:val="a4"/>
        <w:numPr>
          <w:ilvl w:val="0"/>
          <w:numId w:val="25"/>
        </w:numPr>
      </w:pPr>
      <w:r>
        <w:lastRenderedPageBreak/>
        <w:t xml:space="preserve">Коэффициент  абсолютной  ликвидности  =  Денежные  средства  / краткосрочный пассив. </w:t>
      </w:r>
    </w:p>
    <w:p w:rsidR="005F0F43" w:rsidRDefault="005F0F43" w:rsidP="005F0F43">
      <w:pPr>
        <w:pStyle w:val="a0"/>
      </w:pPr>
      <w:r w:rsidRPr="005F0F43">
        <w:t>Расчет коэффициента абсолютной ликвидности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719"/>
        <w:gridCol w:w="1896"/>
        <w:gridCol w:w="2451"/>
        <w:gridCol w:w="1734"/>
        <w:gridCol w:w="2053"/>
      </w:tblGrid>
      <w:tr w:rsidR="005F0F43" w:rsidTr="00CD78EA">
        <w:trPr>
          <w:trHeight w:val="705"/>
        </w:trPr>
        <w:tc>
          <w:tcPr>
            <w:tcW w:w="872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 w:val="restart"/>
          </w:tcPr>
          <w:p w:rsidR="005F0F43" w:rsidRDefault="005F0F43" w:rsidP="005F0F43">
            <w:pPr>
              <w:pStyle w:val="a4"/>
              <w:ind w:firstLine="0"/>
            </w:pPr>
            <w:r>
              <w:t xml:space="preserve">Денежные средства,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 xml:space="preserve">. </w:t>
            </w:r>
          </w:p>
        </w:tc>
        <w:tc>
          <w:tcPr>
            <w:tcW w:w="1244" w:type="pct"/>
            <w:vMerge w:val="restar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Краткосрочный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 xml:space="preserve">пассив,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</w:t>
            </w:r>
          </w:p>
        </w:tc>
        <w:tc>
          <w:tcPr>
            <w:tcW w:w="1922" w:type="pct"/>
            <w:gridSpan w:val="2"/>
          </w:tcPr>
          <w:p w:rsidR="005F0F43" w:rsidRDefault="005F0F43" w:rsidP="00F65000">
            <w:pPr>
              <w:pStyle w:val="a4"/>
              <w:ind w:firstLine="0"/>
              <w:jc w:val="center"/>
            </w:pPr>
            <w:r>
              <w:t>Коэффициент абсолютной ликвидности.</w:t>
            </w:r>
          </w:p>
        </w:tc>
      </w:tr>
      <w:tr w:rsidR="005F0F43" w:rsidTr="00CD78EA">
        <w:trPr>
          <w:trHeight w:val="750"/>
        </w:trPr>
        <w:tc>
          <w:tcPr>
            <w:tcW w:w="87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962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1244" w:type="pct"/>
            <w:vMerge/>
          </w:tcPr>
          <w:p w:rsidR="005F0F43" w:rsidRDefault="005F0F43" w:rsidP="000222E8">
            <w:pPr>
              <w:pStyle w:val="a4"/>
              <w:ind w:firstLine="0"/>
              <w:jc w:val="center"/>
            </w:pP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норматив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Фактическое</w:t>
            </w:r>
          </w:p>
          <w:p w:rsidR="005F0F43" w:rsidRDefault="005F0F43" w:rsidP="000222E8">
            <w:pPr>
              <w:pStyle w:val="a4"/>
              <w:ind w:firstLine="0"/>
              <w:jc w:val="center"/>
            </w:pPr>
            <w:r>
              <w:t>значение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2013г.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4765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499448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0,009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2014г.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6501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555728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5F0F43">
            <w:pPr>
              <w:pStyle w:val="a4"/>
              <w:ind w:firstLine="0"/>
              <w:jc w:val="center"/>
            </w:pPr>
            <w:r>
              <w:t>0,011</w:t>
            </w:r>
          </w:p>
        </w:tc>
      </w:tr>
      <w:tr w:rsidR="005F0F43" w:rsidTr="00CD78EA">
        <w:tc>
          <w:tcPr>
            <w:tcW w:w="87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3B2064">
              <w:t>2015г.</w:t>
            </w:r>
          </w:p>
        </w:tc>
        <w:tc>
          <w:tcPr>
            <w:tcW w:w="96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27505</w:t>
            </w:r>
          </w:p>
        </w:tc>
        <w:tc>
          <w:tcPr>
            <w:tcW w:w="1244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1174FA">
              <w:t>640013</w:t>
            </w:r>
          </w:p>
        </w:tc>
        <w:tc>
          <w:tcPr>
            <w:tcW w:w="880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 w:rsidRPr="005F0F43">
              <w:t>0,2 – 0,25</w:t>
            </w:r>
          </w:p>
        </w:tc>
        <w:tc>
          <w:tcPr>
            <w:tcW w:w="1042" w:type="pct"/>
          </w:tcPr>
          <w:p w:rsidR="005F0F43" w:rsidRDefault="005F0F43" w:rsidP="000222E8">
            <w:pPr>
              <w:pStyle w:val="a4"/>
              <w:ind w:firstLine="0"/>
              <w:jc w:val="center"/>
            </w:pPr>
            <w:r>
              <w:t>0,042</w:t>
            </w:r>
          </w:p>
        </w:tc>
      </w:tr>
    </w:tbl>
    <w:p w:rsidR="005F0F43" w:rsidRDefault="00CD78EA" w:rsidP="00CD78EA">
      <w:pPr>
        <w:pStyle w:val="a4"/>
      </w:pPr>
      <w:r>
        <w:t>Значение коэффициента абсолютной ликвидности ниже нормативного. Платежеспособность считает не нормальной, так как организация может на 4,2% погасить все свои долги.</w:t>
      </w:r>
    </w:p>
    <w:p w:rsidR="00CD78EA" w:rsidRPr="007070C3" w:rsidRDefault="00CD78EA" w:rsidP="00CD78EA">
      <w:pPr>
        <w:pStyle w:val="a4"/>
      </w:pPr>
      <w:r>
        <w:t>Динамика значений коэффициентов абсолютной ликвидности представлена на</w:t>
      </w:r>
      <w:r w:rsidR="007070C3" w:rsidRPr="007070C3">
        <w:t xml:space="preserve"> </w:t>
      </w:r>
      <w:r w:rsidR="007070C3">
        <w:t>рисунке</w:t>
      </w:r>
      <w:r w:rsidR="007070C3" w:rsidRPr="007070C3">
        <w:t xml:space="preserve"> </w:t>
      </w:r>
      <w:r w:rsidR="007070C3">
        <w:fldChar w:fldCharType="begin"/>
      </w:r>
      <w:r w:rsidR="007070C3">
        <w:instrText xml:space="preserve"> REF  _Ref51690381 \h \r \t </w:instrText>
      </w:r>
      <w:r w:rsidR="007070C3">
        <w:fldChar w:fldCharType="separate"/>
      </w:r>
      <w:r w:rsidR="007070C3">
        <w:t>2.3</w:t>
      </w:r>
      <w:r w:rsidR="007070C3">
        <w:fldChar w:fldCharType="end"/>
      </w:r>
      <w:r w:rsidR="007070C3" w:rsidRPr="007070C3">
        <w:t>.</w:t>
      </w:r>
    </w:p>
    <w:p w:rsidR="0052577C" w:rsidRDefault="0052577C" w:rsidP="00CD78EA">
      <w:pPr>
        <w:pStyle w:val="a4"/>
      </w:pPr>
      <w:r>
        <w:rPr>
          <w:noProof/>
        </w:rPr>
        <w:drawing>
          <wp:inline distT="0" distB="0" distL="0" distR="0" wp14:anchorId="520FEDB8" wp14:editId="481F853C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577C" w:rsidRPr="0052577C" w:rsidRDefault="0052577C" w:rsidP="000222E8">
      <w:pPr>
        <w:pStyle w:val="a2"/>
        <w:rPr>
          <w:lang w:val="en-US"/>
        </w:rPr>
      </w:pPr>
      <w:bookmarkStart w:id="12" w:name="_Ref51690381"/>
      <w:r w:rsidRPr="0052577C">
        <w:t>Динамика значений коэффициентов абсолютной ликвидности</w:t>
      </w:r>
      <w:bookmarkEnd w:id="12"/>
    </w:p>
    <w:p w:rsidR="00FF343E" w:rsidRDefault="00FF343E" w:rsidP="00801D75">
      <w:pPr>
        <w:pStyle w:val="a4"/>
        <w:ind w:firstLine="0"/>
      </w:pPr>
      <w:r>
        <w:br w:type="page"/>
      </w:r>
    </w:p>
    <w:p w:rsidR="002312AD" w:rsidRPr="00626BF2" w:rsidRDefault="00EF0E1E" w:rsidP="00626BF2">
      <w:pPr>
        <w:pStyle w:val="1"/>
      </w:pPr>
      <w:bookmarkStart w:id="13" w:name="_Toc51690350"/>
      <w:r>
        <w:lastRenderedPageBreak/>
        <w:t>Расчет</w:t>
      </w:r>
      <w:bookmarkStart w:id="14" w:name="_GoBack"/>
      <w:bookmarkEnd w:id="14"/>
      <w:r w:rsidR="002312AD" w:rsidRPr="00626BF2">
        <w:t xml:space="preserve"> основных показателей сметного финансирования. ВИДЫ СМЕТ</w:t>
      </w:r>
      <w:bookmarkEnd w:id="13"/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соответствии оперативных и перспективных планов;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координации действий различных подразделений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определении будущих параметров хозяйственной деятельности;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в составлении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планирование - определение будущих целей;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нормативный;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расчетно-аналитический;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lastRenderedPageBreak/>
        <w:t>балансовый;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оптимизации;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7070C3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9109D36" wp14:editId="5D6BD451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801D75" w:rsidRPr="002312AD" w:rsidRDefault="00801D75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801D75" w:rsidRPr="002312AD" w:rsidRDefault="00801D75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801D75" w:rsidRPr="002312AD" w:rsidRDefault="00801D75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BD0E02" wp14:editId="4BCF0964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D26D55" w:rsidRDefault="00801D75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801D75" w:rsidRPr="00D26D55" w:rsidRDefault="00801D75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A810AD" wp14:editId="2A94A466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801D75" w:rsidRPr="002312AD" w:rsidRDefault="00801D75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2373B7F2" wp14:editId="29647F0E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801D75" w:rsidRPr="002312AD" w:rsidRDefault="00801D75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F6B0226" wp14:editId="173E18EA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Плановый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801D75" w:rsidRPr="002312AD" w:rsidRDefault="00801D75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Плановый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5" w:name="_Ref46047556"/>
      <w:r w:rsidRPr="002312AD">
        <w:t>Схема нормативного метода финансового планирования</w:t>
      </w:r>
      <w:bookmarkEnd w:id="15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 xml:space="preserve">В основе этого метода лежит использование экспертной оценки (рис.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7070C3"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E89D2" wp14:editId="140A1BB4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576C5" wp14:editId="323A4E1E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939E" wp14:editId="2CD2C926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2D7B8BDA" wp14:editId="77B0FAE4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801D75" w:rsidRPr="002312AD" w:rsidRDefault="00801D75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5B95EEB8" wp14:editId="21F3E648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801D75" w:rsidRPr="002312AD" w:rsidRDefault="00801D75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24D61F0A" wp14:editId="45719607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801D75" w:rsidRPr="002312AD" w:rsidRDefault="00801D75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31956AC1" wp14:editId="4C2D2A48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2312AD" w:rsidRDefault="00801D75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801D75" w:rsidRPr="002312AD" w:rsidRDefault="00801D75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6" w:name="_Ref46047671"/>
      <w:r w:rsidRPr="0038377C">
        <w:t>Схема расчетно-аналитического метода финансового планирования</w:t>
      </w:r>
      <w:bookmarkEnd w:id="16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B9025B">
        <w:tc>
          <w:tcPr>
            <w:tcW w:w="8613" w:type="dxa"/>
          </w:tcPr>
          <w:p w:rsidR="009B49FA" w:rsidRPr="00D61D8E" w:rsidRDefault="00801D75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+П=Р+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B9025B">
            <w:pPr>
              <w:pStyle w:val="a1"/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средств на начало планового периода,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расходование средств из фонда, руб.;</w:t>
      </w:r>
    </w:p>
    <w:p w:rsidR="009B49FA" w:rsidRDefault="00801D75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9B49FA">
        <w:t>- 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7070C3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BE086" wp14:editId="71A162BF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63325" wp14:editId="20F4F2BA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08CB4" wp14:editId="45F2CC01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90A86" wp14:editId="3A656716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07781" wp14:editId="616578C3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6B612" wp14:editId="2413933A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801D75" w:rsidRPr="009B49FA" w:rsidRDefault="00801D75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801D75" w:rsidRPr="009B49FA" w:rsidRDefault="00801D75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3E4E0" wp14:editId="16701FD2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D75" w:rsidRPr="009B49FA" w:rsidRDefault="00801D75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801D75" w:rsidRPr="009B49FA" w:rsidRDefault="00801D75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188D6" wp14:editId="126B79DF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F2AB7" wp14:editId="6C868BFD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7" w:name="_Ref46049408"/>
      <w:r w:rsidRPr="009B49FA">
        <w:t>Схема метода оптимизации</w:t>
      </w:r>
      <w:bookmarkEnd w:id="17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F9261E" w:rsidP="00626BF2">
      <w:pPr>
        <w:pStyle w:val="1"/>
        <w:numPr>
          <w:ilvl w:val="0"/>
          <w:numId w:val="0"/>
        </w:numPr>
      </w:pPr>
      <w:bookmarkStart w:id="18" w:name="_Toc51690351"/>
      <w:r w:rsidRPr="00D26D55">
        <w:lastRenderedPageBreak/>
        <w:t>заключение</w:t>
      </w:r>
      <w:bookmarkEnd w:id="18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планирует доходы, и расходы средств Фонда в пределах своей компетенции обеспечивает выполнение бюджета Фонда;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A91ACB">
      <w:pPr>
        <w:pStyle w:val="a4"/>
        <w:numPr>
          <w:ilvl w:val="0"/>
          <w:numId w:val="17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взносов, назначения (перерасчета)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9" w:name="_Toc51690352"/>
      <w:r w:rsidRPr="005A41E9">
        <w:lastRenderedPageBreak/>
        <w:t>СПИСОК ЛИТЕРАТУРЫ</w:t>
      </w:r>
      <w:bookmarkEnd w:id="19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  Донецкой  Народной  Республики  Протокол  №  1  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  (Постановление  №I-72П-НС).  Опубликован  20.03.2015.  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 xml:space="preserve">Постановление  №  4-3  от  28.03.2016  «Об  установлении  размера республиканской  пошлины  за  выдачу  лицензий,  выдачу  копий,  дубликата лицензий,  переоформление  лицензий  на  отдельные  виды  хозяйственной деятельности» </w:t>
      </w:r>
    </w:p>
    <w:p w:rsidR="005E6199" w:rsidRDefault="005E6199" w:rsidP="005E6199">
      <w:pPr>
        <w:pStyle w:val="a"/>
      </w:pPr>
      <w:r>
        <w:t>Приказ №  68 от  09.03.2016  «Об  утверждении  Временного  порядка  внесения, возврата и  обращения  в доход  государства сре</w:t>
      </w:r>
      <w:proofErr w:type="gramStart"/>
      <w:r>
        <w:t>дств в сл</w:t>
      </w:r>
      <w:proofErr w:type="gramEnd"/>
      <w:r>
        <w:t xml:space="preserve">учае  применения  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  Н.  Г.  Финансы  [Электронный  ресурс]  :  учеб</w:t>
      </w:r>
      <w:proofErr w:type="gramStart"/>
      <w:r>
        <w:t>.</w:t>
      </w:r>
      <w:proofErr w:type="gramEnd"/>
      <w:r>
        <w:t xml:space="preserve">  </w:t>
      </w:r>
      <w:proofErr w:type="gramStart"/>
      <w:r>
        <w:t>п</w:t>
      </w:r>
      <w:proofErr w:type="gramEnd"/>
      <w:r>
        <w:t xml:space="preserve">особие  /  Н.  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  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4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10E" w:rsidRDefault="00A8510E" w:rsidP="00B547F0">
      <w:pPr>
        <w:spacing w:after="0" w:line="240" w:lineRule="auto"/>
      </w:pPr>
      <w:r>
        <w:separator/>
      </w:r>
    </w:p>
  </w:endnote>
  <w:endnote w:type="continuationSeparator" w:id="0">
    <w:p w:rsidR="00A8510E" w:rsidRDefault="00A8510E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10E" w:rsidRDefault="00A8510E" w:rsidP="00B547F0">
      <w:pPr>
        <w:spacing w:after="0" w:line="240" w:lineRule="auto"/>
      </w:pPr>
      <w:r>
        <w:separator/>
      </w:r>
    </w:p>
  </w:footnote>
  <w:footnote w:type="continuationSeparator" w:id="0">
    <w:p w:rsidR="00A8510E" w:rsidRDefault="00A8510E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01D75" w:rsidRPr="00F74193" w:rsidRDefault="00801D75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0E1E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01D75" w:rsidRDefault="00801D7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B63751B"/>
    <w:multiLevelType w:val="hybridMultilevel"/>
    <w:tmpl w:val="A2287AE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20808"/>
    <w:multiLevelType w:val="hybridMultilevel"/>
    <w:tmpl w:val="9A52B6C0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CB7CDE"/>
    <w:multiLevelType w:val="hybridMultilevel"/>
    <w:tmpl w:val="24BC9EF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5AC2138E"/>
    <w:multiLevelType w:val="hybridMultilevel"/>
    <w:tmpl w:val="A54CDB4A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234652"/>
    <w:multiLevelType w:val="hybridMultilevel"/>
    <w:tmpl w:val="DF5A0622"/>
    <w:lvl w:ilvl="0" w:tplc="1598BDFA">
      <w:start w:val="1"/>
      <w:numFmt w:val="decimal"/>
      <w:lvlText w:val="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6"/>
  </w:num>
  <w:num w:numId="5">
    <w:abstractNumId w:val="6"/>
  </w:num>
  <w:num w:numId="6">
    <w:abstractNumId w:val="15"/>
  </w:num>
  <w:num w:numId="7">
    <w:abstractNumId w:val="23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2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4"/>
  </w:num>
  <w:num w:numId="19">
    <w:abstractNumId w:val="14"/>
  </w:num>
  <w:num w:numId="20">
    <w:abstractNumId w:val="0"/>
  </w:num>
  <w:num w:numId="21">
    <w:abstractNumId w:val="9"/>
  </w:num>
  <w:num w:numId="22">
    <w:abstractNumId w:val="11"/>
  </w:num>
  <w:num w:numId="23">
    <w:abstractNumId w:val="2"/>
  </w:num>
  <w:num w:numId="24">
    <w:abstractNumId w:val="17"/>
  </w:num>
  <w:num w:numId="25">
    <w:abstractNumId w:val="19"/>
  </w:num>
  <w:num w:numId="2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16CB9"/>
    <w:rsid w:val="000222E8"/>
    <w:rsid w:val="000259A5"/>
    <w:rsid w:val="00033650"/>
    <w:rsid w:val="00037D1A"/>
    <w:rsid w:val="00037EEB"/>
    <w:rsid w:val="00045E82"/>
    <w:rsid w:val="00050590"/>
    <w:rsid w:val="00054D2E"/>
    <w:rsid w:val="00057091"/>
    <w:rsid w:val="00057669"/>
    <w:rsid w:val="00060677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0F7974"/>
    <w:rsid w:val="00106335"/>
    <w:rsid w:val="001174FA"/>
    <w:rsid w:val="001215C0"/>
    <w:rsid w:val="00122078"/>
    <w:rsid w:val="00123582"/>
    <w:rsid w:val="00123CBC"/>
    <w:rsid w:val="00127296"/>
    <w:rsid w:val="0013139C"/>
    <w:rsid w:val="00143517"/>
    <w:rsid w:val="0014476F"/>
    <w:rsid w:val="001448AE"/>
    <w:rsid w:val="00147F21"/>
    <w:rsid w:val="00152742"/>
    <w:rsid w:val="00154B70"/>
    <w:rsid w:val="0016221C"/>
    <w:rsid w:val="00166BEC"/>
    <w:rsid w:val="0016797A"/>
    <w:rsid w:val="0017517F"/>
    <w:rsid w:val="001834CD"/>
    <w:rsid w:val="001841EC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231F"/>
    <w:rsid w:val="00223547"/>
    <w:rsid w:val="002312AD"/>
    <w:rsid w:val="002333DA"/>
    <w:rsid w:val="00240699"/>
    <w:rsid w:val="0024496C"/>
    <w:rsid w:val="00254F10"/>
    <w:rsid w:val="00261191"/>
    <w:rsid w:val="002643BA"/>
    <w:rsid w:val="0026471A"/>
    <w:rsid w:val="00265C22"/>
    <w:rsid w:val="002667B6"/>
    <w:rsid w:val="0027543A"/>
    <w:rsid w:val="00276514"/>
    <w:rsid w:val="00276FFA"/>
    <w:rsid w:val="002775F1"/>
    <w:rsid w:val="002807A4"/>
    <w:rsid w:val="002878DC"/>
    <w:rsid w:val="00292619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12F3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B6E"/>
    <w:rsid w:val="003A6A15"/>
    <w:rsid w:val="003B2064"/>
    <w:rsid w:val="003B2393"/>
    <w:rsid w:val="003B7233"/>
    <w:rsid w:val="003C221E"/>
    <w:rsid w:val="003C2489"/>
    <w:rsid w:val="003C408A"/>
    <w:rsid w:val="003C74E6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2577C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64D0F"/>
    <w:rsid w:val="00575584"/>
    <w:rsid w:val="005758DF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B7D9F"/>
    <w:rsid w:val="005C124D"/>
    <w:rsid w:val="005C51B7"/>
    <w:rsid w:val="005C5215"/>
    <w:rsid w:val="005D06F9"/>
    <w:rsid w:val="005D2913"/>
    <w:rsid w:val="005D7743"/>
    <w:rsid w:val="005E4BE6"/>
    <w:rsid w:val="005E5DCF"/>
    <w:rsid w:val="005E6199"/>
    <w:rsid w:val="005F0F43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273AB"/>
    <w:rsid w:val="00633FAA"/>
    <w:rsid w:val="00642DBE"/>
    <w:rsid w:val="00643034"/>
    <w:rsid w:val="0065146C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97D5D"/>
    <w:rsid w:val="006A15DF"/>
    <w:rsid w:val="006A7587"/>
    <w:rsid w:val="006A7F78"/>
    <w:rsid w:val="006B6E2A"/>
    <w:rsid w:val="006C0B9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070C3"/>
    <w:rsid w:val="00710F0F"/>
    <w:rsid w:val="0071412F"/>
    <w:rsid w:val="00720198"/>
    <w:rsid w:val="00722506"/>
    <w:rsid w:val="007226EF"/>
    <w:rsid w:val="00723239"/>
    <w:rsid w:val="00723D46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41E"/>
    <w:rsid w:val="00786F3B"/>
    <w:rsid w:val="007902E2"/>
    <w:rsid w:val="00791798"/>
    <w:rsid w:val="00791A53"/>
    <w:rsid w:val="00791D23"/>
    <w:rsid w:val="00792498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1D7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57BB"/>
    <w:rsid w:val="00856214"/>
    <w:rsid w:val="00860D07"/>
    <w:rsid w:val="008610FF"/>
    <w:rsid w:val="00861A97"/>
    <w:rsid w:val="0086207E"/>
    <w:rsid w:val="00862846"/>
    <w:rsid w:val="0086330A"/>
    <w:rsid w:val="00864CE5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5DF9"/>
    <w:rsid w:val="008873C4"/>
    <w:rsid w:val="00890A6F"/>
    <w:rsid w:val="008910F0"/>
    <w:rsid w:val="008B0343"/>
    <w:rsid w:val="008B0BDE"/>
    <w:rsid w:val="008C1444"/>
    <w:rsid w:val="008C4136"/>
    <w:rsid w:val="008C5D69"/>
    <w:rsid w:val="008D1AC5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08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66AD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36F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62FF"/>
    <w:rsid w:val="00A66479"/>
    <w:rsid w:val="00A66645"/>
    <w:rsid w:val="00A80B5C"/>
    <w:rsid w:val="00A81423"/>
    <w:rsid w:val="00A836A5"/>
    <w:rsid w:val="00A83E92"/>
    <w:rsid w:val="00A8510E"/>
    <w:rsid w:val="00A91ACB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5D2D"/>
    <w:rsid w:val="00B86EEA"/>
    <w:rsid w:val="00B86F62"/>
    <w:rsid w:val="00B9025B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3FBF"/>
    <w:rsid w:val="00C92554"/>
    <w:rsid w:val="00C94EBA"/>
    <w:rsid w:val="00C963DC"/>
    <w:rsid w:val="00CA21AA"/>
    <w:rsid w:val="00CB0C47"/>
    <w:rsid w:val="00CB533A"/>
    <w:rsid w:val="00CC7358"/>
    <w:rsid w:val="00CD78EA"/>
    <w:rsid w:val="00CF672E"/>
    <w:rsid w:val="00CF6D88"/>
    <w:rsid w:val="00D03F70"/>
    <w:rsid w:val="00D07625"/>
    <w:rsid w:val="00D21817"/>
    <w:rsid w:val="00D26D55"/>
    <w:rsid w:val="00D3112F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10C9"/>
    <w:rsid w:val="00E35688"/>
    <w:rsid w:val="00E44F04"/>
    <w:rsid w:val="00E4540C"/>
    <w:rsid w:val="00E46F3A"/>
    <w:rsid w:val="00E54022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0E1E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0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E110A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dnr-live.ru/pensii-v-dnr-itogi-2018-i-planyi-minsotspolitiki-na-2019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
значение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2.04</c:v>
                </c:pt>
                <c:pt idx="1">
                  <c:v>2.2799999999999998</c:v>
                </c:pt>
                <c:pt idx="2">
                  <c:v>2.06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764096"/>
        <c:axId val="139765632"/>
      </c:lineChart>
      <c:catAx>
        <c:axId val="139764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765632"/>
        <c:crosses val="autoZero"/>
        <c:auto val="1"/>
        <c:lblAlgn val="ctr"/>
        <c:lblOffset val="100"/>
        <c:noMultiLvlLbl val="0"/>
      </c:catAx>
      <c:valAx>
        <c:axId val="13976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764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Норматив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
значение 
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1.23</c:v>
                </c:pt>
                <c:pt idx="1">
                  <c:v>2.129</c:v>
                </c:pt>
                <c:pt idx="2">
                  <c:v>1.8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388608"/>
        <c:axId val="148443136"/>
      </c:lineChart>
      <c:catAx>
        <c:axId val="140388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443136"/>
        <c:crosses val="autoZero"/>
        <c:auto val="1"/>
        <c:lblAlgn val="ctr"/>
        <c:lblOffset val="100"/>
        <c:noMultiLvlLbl val="0"/>
      </c:catAx>
      <c:valAx>
        <c:axId val="14844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388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Фактическое значение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Норматив 0,20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8.9999999999999993E-3</c:v>
                </c:pt>
                <c:pt idx="1">
                  <c:v>1.0999999999999999E-2</c:v>
                </c:pt>
                <c:pt idx="2">
                  <c:v>4.2000000000000003E-2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Норматив 0,25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501632"/>
        <c:axId val="148503168"/>
      </c:lineChart>
      <c:catAx>
        <c:axId val="1485016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8503168"/>
        <c:crosses val="autoZero"/>
        <c:auto val="1"/>
        <c:lblAlgn val="ctr"/>
        <c:lblOffset val="100"/>
        <c:noMultiLvlLbl val="0"/>
      </c:catAx>
      <c:valAx>
        <c:axId val="148503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501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58589D6-9B55-40B3-8B69-49BE7622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36</Pages>
  <Words>7174</Words>
  <Characters>40894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136</cp:revision>
  <cp:lastPrinted>2019-06-10T17:58:00Z</cp:lastPrinted>
  <dcterms:created xsi:type="dcterms:W3CDTF">2019-06-07T01:10:00Z</dcterms:created>
  <dcterms:modified xsi:type="dcterms:W3CDTF">2020-09-22T15:08:00Z</dcterms:modified>
</cp:coreProperties>
</file>