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 w:rsidR="004373A2">
        <w:rPr>
          <w:rFonts w:ascii="Times New Roman" w:eastAsia="Times New Roman" w:hAnsi="Times New Roman" w:cs="Times New Roman"/>
          <w:sz w:val="28"/>
          <w:szCs w:val="24"/>
        </w:rPr>
        <w:t>20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6404B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10970695" w:history="1">
        <w:r w:rsidR="0036404B" w:rsidRPr="0042359E">
          <w:rPr>
            <w:rStyle w:val="ab"/>
            <w:noProof/>
          </w:rPr>
          <w:t>Реферат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_Toc10970695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3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696" w:history="1">
        <w:r w:rsidR="0036404B" w:rsidRPr="0042359E">
          <w:rPr>
            <w:rStyle w:val="ab"/>
            <w:noProof/>
          </w:rPr>
          <w:t>ВВЕДЕНИЕ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_Toc10970696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4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697" w:history="1">
        <w:r w:rsidR="0036404B" w:rsidRPr="0042359E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_Toc10970697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7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698" w:history="1">
        <w:r w:rsidR="0036404B" w:rsidRPr="0042359E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_Toc10970698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7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699" w:history="1">
        <w:r w:rsidR="0036404B" w:rsidRPr="0042359E">
          <w:rPr>
            <w:rStyle w:val="ab"/>
            <w:noProof/>
          </w:rPr>
          <w:t>1.2 Система управления персоналом и кадровая политика организации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_Toc10970699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15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0" w:history="1">
        <w:r w:rsidR="0036404B" w:rsidRPr="0042359E">
          <w:rPr>
            <w:rStyle w:val="ab"/>
            <w:noProof/>
          </w:rPr>
          <w:t>2 АНАЛИЗ СИСТЕМЫ УПРАВЛЕНИЯ ПЕРСОНАЛОМ В УПРАВЛЕНИИ ПЕНСИОННОГО ФОНДА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_Toc10970700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24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701" w:history="1">
        <w:r w:rsidR="0036404B" w:rsidRPr="0042359E">
          <w:rPr>
            <w:rStyle w:val="ab"/>
            <w:noProof/>
            <w:lang w:eastAsia="en-US"/>
          </w:rPr>
          <w:t>2.1 Состав и структура кадров организации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_Toc10970701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24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2" w:history="1">
        <w:r w:rsidR="0036404B" w:rsidRPr="0042359E">
          <w:rPr>
            <w:rStyle w:val="ab"/>
            <w:noProof/>
          </w:rPr>
          <w:t>заключение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_Toc10970702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37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934AD1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3" w:history="1">
        <w:r w:rsidR="0036404B" w:rsidRPr="0042359E">
          <w:rPr>
            <w:rStyle w:val="ab"/>
            <w:noProof/>
          </w:rPr>
          <w:t>СПИСОК ЛИТЕРАТУРЫ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_Toc10970703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7961A7">
          <w:rPr>
            <w:noProof/>
            <w:webHidden/>
          </w:rPr>
          <w:t>38</w:t>
        </w:r>
        <w:r w:rsidR="0036404B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970695"/>
      <w:r>
        <w:lastRenderedPageBreak/>
        <w:t>Р</w:t>
      </w:r>
      <w:r w:rsidR="00B94653">
        <w:rPr>
          <w:caps w:val="0"/>
        </w:rPr>
        <w:t>еферат</w:t>
      </w:r>
      <w:bookmarkEnd w:id="0"/>
    </w:p>
    <w:p w:rsidR="00ED3898" w:rsidRDefault="00ED3898" w:rsidP="004373A2">
      <w:pPr>
        <w:pStyle w:val="a4"/>
        <w:tabs>
          <w:tab w:val="left" w:pos="7953"/>
        </w:tabs>
      </w:pPr>
      <w:r>
        <w:t xml:space="preserve">Отчет: </w:t>
      </w:r>
      <w:r w:rsidRPr="004373A2">
        <w:rPr>
          <w:highlight w:val="yellow"/>
        </w:rPr>
        <w:t>39 страниц, 6 таблиц, 6 рисунков, 15</w:t>
      </w:r>
      <w:r>
        <w:t xml:space="preserve"> источников.</w:t>
      </w:r>
      <w:r w:rsidR="004373A2">
        <w:tab/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4373A2">
      <w:pPr>
        <w:pStyle w:val="a4"/>
      </w:pPr>
      <w:r>
        <w:t xml:space="preserve">Предметом исследования являются </w:t>
      </w:r>
      <w:r w:rsidRPr="004373A2">
        <w:rPr>
          <w:highlight w:val="yellow"/>
        </w:rPr>
        <w:t>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4373A2">
      <w:pPr>
        <w:pStyle w:val="a4"/>
      </w:pPr>
      <w:r>
        <w:t xml:space="preserve">В отчете рассмотрены </w:t>
      </w:r>
      <w:r w:rsidRPr="004373A2">
        <w:rPr>
          <w:highlight w:val="yellow"/>
        </w:rPr>
        <w:t>общая характеристика предприятия</w:t>
      </w:r>
      <w:r w:rsidR="00B25B2C" w:rsidRPr="004373A2">
        <w:rPr>
          <w:highlight w:val="yellow"/>
        </w:rPr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651E3F" w:rsidRDefault="003C408A" w:rsidP="000B0964">
      <w:pPr>
        <w:pStyle w:val="a4"/>
        <w:jc w:val="center"/>
      </w:pPr>
      <w:r w:rsidRPr="0078641E">
        <w:rPr>
          <w:highlight w:val="yellow"/>
        </w:rPr>
        <w:t>УПРАВЛЕНИЕ, ОРГАНИЗАЦИЯ, ФУНКЦИЯ, АНАЛИЗ, СТРУКТУРА, КАДРЫ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970696"/>
      <w:r w:rsidRPr="00B547F0">
        <w:lastRenderedPageBreak/>
        <w:t>ВВЕДЕНИЕ</w:t>
      </w:r>
      <w:bookmarkEnd w:id="1"/>
    </w:p>
    <w:p w:rsidR="0039166C" w:rsidRPr="0078641E" w:rsidRDefault="0039166C" w:rsidP="0039166C">
      <w:pPr>
        <w:pStyle w:val="a4"/>
        <w:rPr>
          <w:highlight w:val="yellow"/>
        </w:rPr>
      </w:pPr>
      <w:r w:rsidRPr="0078641E">
        <w:rPr>
          <w:highlight w:val="yellow"/>
        </w:rP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Pr="0078641E" w:rsidRDefault="006E5471" w:rsidP="0039166C">
      <w:pPr>
        <w:pStyle w:val="a4"/>
        <w:rPr>
          <w:highlight w:val="yellow"/>
        </w:rPr>
      </w:pPr>
      <w:r w:rsidRPr="0078641E">
        <w:rPr>
          <w:highlight w:val="yellow"/>
        </w:rPr>
        <w:t>П</w:t>
      </w:r>
      <w:r w:rsidR="0039166C" w:rsidRPr="0078641E">
        <w:rPr>
          <w:highlight w:val="yellow"/>
        </w:rPr>
        <w:t>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6E5471" w:rsidP="0039166C">
      <w:pPr>
        <w:pStyle w:val="a4"/>
      </w:pPr>
      <w:r w:rsidRPr="0078641E">
        <w:rPr>
          <w:highlight w:val="yellow"/>
        </w:rPr>
        <w:t>С</w:t>
      </w:r>
      <w:r w:rsidR="0039166C" w:rsidRPr="0078641E">
        <w:rPr>
          <w:highlight w:val="yellow"/>
        </w:rPr>
        <w:t>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Pr="0078641E" w:rsidRDefault="006E5471" w:rsidP="0039166C">
      <w:pPr>
        <w:pStyle w:val="a4"/>
        <w:rPr>
          <w:highlight w:val="yellow"/>
        </w:rPr>
      </w:pPr>
      <w:proofErr w:type="gramStart"/>
      <w:r w:rsidRPr="0078641E">
        <w:rPr>
          <w:highlight w:val="yellow"/>
        </w:rPr>
        <w:lastRenderedPageBreak/>
        <w:t>В</w:t>
      </w:r>
      <w:r w:rsidR="0039166C" w:rsidRPr="0078641E">
        <w:rPr>
          <w:highlight w:val="yellow"/>
        </w:rPr>
        <w:t xml:space="preserve">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 w:rsidR="0039166C" w:rsidRPr="0078641E">
        <w:rPr>
          <w:highlight w:val="yellow"/>
        </w:rP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Pr="0078641E" w:rsidRDefault="006E5471" w:rsidP="0039166C">
      <w:pPr>
        <w:pStyle w:val="a4"/>
        <w:rPr>
          <w:highlight w:val="yellow"/>
        </w:rPr>
      </w:pPr>
      <w:r w:rsidRPr="0078641E">
        <w:rPr>
          <w:highlight w:val="yellow"/>
        </w:rPr>
        <w:t>Р</w:t>
      </w:r>
      <w:r w:rsidR="0039166C" w:rsidRPr="0078641E">
        <w:rPr>
          <w:highlight w:val="yellow"/>
        </w:rPr>
        <w:t>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Pr="0078641E" w:rsidRDefault="006E5471" w:rsidP="0039166C">
      <w:pPr>
        <w:pStyle w:val="a4"/>
        <w:rPr>
          <w:highlight w:val="yellow"/>
        </w:rPr>
      </w:pPr>
      <w:r w:rsidRPr="0078641E">
        <w:rPr>
          <w:highlight w:val="yellow"/>
        </w:rPr>
        <w:t>И</w:t>
      </w:r>
      <w:r w:rsidR="0039166C" w:rsidRPr="0078641E">
        <w:rPr>
          <w:highlight w:val="yellow"/>
        </w:rPr>
        <w:t xml:space="preserve">менно в управлении персоналом актуальна проблема </w:t>
      </w:r>
      <w:proofErr w:type="gramStart"/>
      <w:r w:rsidR="0039166C" w:rsidRPr="0078641E">
        <w:rPr>
          <w:highlight w:val="yellow"/>
        </w:rPr>
        <w:t>корпоративного</w:t>
      </w:r>
      <w:proofErr w:type="gramEnd"/>
      <w:r w:rsidR="0039166C" w:rsidRPr="0078641E">
        <w:rPr>
          <w:highlight w:val="yellow"/>
        </w:rP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Pr="0078641E" w:rsidRDefault="00686154" w:rsidP="0039166C">
      <w:pPr>
        <w:pStyle w:val="a4"/>
        <w:rPr>
          <w:highlight w:val="yellow"/>
        </w:rPr>
      </w:pPr>
      <w:r w:rsidRPr="0078641E">
        <w:rPr>
          <w:highlight w:val="yellow"/>
        </w:rPr>
        <w:t xml:space="preserve">В </w:t>
      </w:r>
      <w:r w:rsidR="0039166C" w:rsidRPr="0078641E">
        <w:rPr>
          <w:highlight w:val="yellow"/>
        </w:rPr>
        <w:t xml:space="preserve">связи с динамизмом экономики и постоянными изменениями в законодательстве, в корпоративных правилах, персонал организаций </w:t>
      </w:r>
      <w:r w:rsidR="0039166C" w:rsidRPr="0078641E">
        <w:rPr>
          <w:highlight w:val="yellow"/>
        </w:rPr>
        <w:lastRenderedPageBreak/>
        <w:t>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686154" w:rsidRPr="0078641E" w:rsidRDefault="00686154" w:rsidP="00686154">
      <w:pPr>
        <w:pStyle w:val="a4"/>
        <w:rPr>
          <w:highlight w:val="yellow"/>
        </w:rPr>
      </w:pPr>
      <w:r w:rsidRPr="0078641E">
        <w:rPr>
          <w:highlight w:val="yellow"/>
        </w:rPr>
        <w:t>Создание производства всегда связано с людьми, работающими на предприятии. Правильные принципы организации производства, оптимальные системы и процедуры играют важную роль. Однако производственный успех зависит от конкретных людей, их знаний, компетентности, квалификации, дисциплины, мотиваций, способности решать проблемы, восприимчивости к обучению.</w:t>
      </w:r>
    </w:p>
    <w:p w:rsidR="00686154" w:rsidRPr="0078641E" w:rsidRDefault="00686154" w:rsidP="00686154">
      <w:pPr>
        <w:pStyle w:val="a4"/>
        <w:rPr>
          <w:highlight w:val="yellow"/>
        </w:rPr>
      </w:pPr>
      <w:r w:rsidRPr="0078641E">
        <w:rPr>
          <w:highlight w:val="yellow"/>
        </w:rPr>
        <w:t>В современных условиях именно трудовые ресурсы рассматривают как наиважнейшие ресурсы организации. Они являются главной производительной силой общества.</w:t>
      </w:r>
    </w:p>
    <w:p w:rsidR="00612C03" w:rsidRPr="0078641E" w:rsidRDefault="00686154" w:rsidP="0039166C">
      <w:pPr>
        <w:pStyle w:val="a4"/>
        <w:rPr>
          <w:highlight w:val="yellow"/>
        </w:rPr>
      </w:pPr>
      <w:r w:rsidRPr="0078641E">
        <w:rPr>
          <w:highlight w:val="yellow"/>
        </w:rPr>
        <w:t xml:space="preserve">Категория «кадровый потенциал» не идентична категории «кадры», первая наиболее обширна. В неё включаются не только собственно кадры, но и определенный уровень совместных возможностей кадров для достижения заданных целей. </w:t>
      </w:r>
    </w:p>
    <w:p w:rsidR="0039166C" w:rsidRDefault="0039166C" w:rsidP="0039166C">
      <w:pPr>
        <w:pStyle w:val="a4"/>
      </w:pPr>
      <w:r w:rsidRPr="0078641E">
        <w:rPr>
          <w:highlight w:val="yellow"/>
        </w:rP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2" w:name="_Toc10970697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1B216F">
      <w:pPr>
        <w:pStyle w:val="20"/>
        <w:rPr>
          <w:lang w:eastAsia="en-US"/>
        </w:rPr>
      </w:pPr>
      <w:bookmarkStart w:id="3" w:name="_Toc10970698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Pr="004373A2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4" w:name="_Toc10970699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7961A7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51647160" wp14:editId="155E5C39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5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5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FA2" w:rsidRDefault="00C04FA2" w:rsidP="00C04FA2">
      <w:pPr>
        <w:pStyle w:val="1"/>
      </w:pPr>
      <w:r w:rsidRPr="00C04FA2">
        <w:lastRenderedPageBreak/>
        <w:t>а</w:t>
      </w:r>
      <w:r>
        <w:t>нализ</w:t>
      </w:r>
      <w:r w:rsidRPr="00C04FA2">
        <w:t xml:space="preserve"> основны</w:t>
      </w:r>
      <w:r>
        <w:t>х</w:t>
      </w:r>
      <w:r w:rsidRPr="00C04FA2">
        <w:t xml:space="preserve"> финансово-экономически</w:t>
      </w:r>
      <w:r>
        <w:t>х показателей</w:t>
      </w:r>
    </w:p>
    <w:p w:rsidR="0027543A" w:rsidRDefault="00C70C25" w:rsidP="00FE110A">
      <w:pPr>
        <w:pStyle w:val="a0"/>
      </w:pPr>
      <w:r w:rsidRPr="00C70C25">
        <w:t>Основные показатели ПФ ДНР (Управления ПФ ДНР)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23"/>
        <w:gridCol w:w="1051"/>
        <w:gridCol w:w="1134"/>
        <w:gridCol w:w="1126"/>
        <w:gridCol w:w="1338"/>
        <w:gridCol w:w="981"/>
      </w:tblGrid>
      <w:tr w:rsidR="00B938A8" w:rsidTr="00FE110A">
        <w:trPr>
          <w:trHeight w:val="20"/>
        </w:trPr>
        <w:tc>
          <w:tcPr>
            <w:tcW w:w="0" w:type="auto"/>
            <w:vMerge w:val="restart"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  <w:r>
              <w:t>Показатели</w:t>
            </w:r>
          </w:p>
        </w:tc>
        <w:tc>
          <w:tcPr>
            <w:tcW w:w="0" w:type="auto"/>
            <w:vMerge w:val="restart"/>
            <w:vAlign w:val="center"/>
          </w:tcPr>
          <w:p w:rsidR="00FE110A" w:rsidRDefault="00FE110A" w:rsidP="00B938A8">
            <w:pPr>
              <w:pStyle w:val="a4"/>
              <w:ind w:firstLine="0"/>
              <w:jc w:val="center"/>
            </w:pPr>
            <w:r>
              <w:t>20</w:t>
            </w:r>
            <w:r w:rsidR="00B938A8">
              <w:t>18</w:t>
            </w:r>
            <w:r>
              <w:t xml:space="preserve"> год факт</w:t>
            </w:r>
          </w:p>
        </w:tc>
        <w:tc>
          <w:tcPr>
            <w:tcW w:w="0" w:type="auto"/>
            <w:gridSpan w:val="4"/>
            <w:vAlign w:val="center"/>
          </w:tcPr>
          <w:p w:rsidR="00FE110A" w:rsidRDefault="00FE110A" w:rsidP="00AA64F7">
            <w:pPr>
              <w:pStyle w:val="a4"/>
              <w:ind w:firstLine="0"/>
              <w:jc w:val="center"/>
            </w:pPr>
            <w:r>
              <w:t>20</w:t>
            </w:r>
            <w:r w:rsidR="00AA64F7">
              <w:t xml:space="preserve">19 </w:t>
            </w:r>
            <w:r>
              <w:t>год</w:t>
            </w:r>
          </w:p>
        </w:tc>
      </w:tr>
      <w:tr w:rsidR="00B938A8" w:rsidTr="00FE110A">
        <w:trPr>
          <w:trHeight w:val="880"/>
        </w:trPr>
        <w:tc>
          <w:tcPr>
            <w:tcW w:w="0" w:type="auto"/>
            <w:vMerge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</w:p>
        </w:tc>
        <w:tc>
          <w:tcPr>
            <w:tcW w:w="0" w:type="auto"/>
            <w:vMerge w:val="restart"/>
            <w:vAlign w:val="center"/>
          </w:tcPr>
          <w:p w:rsidR="00FE110A" w:rsidRDefault="00FE110A" w:rsidP="00B938A8">
            <w:pPr>
              <w:pStyle w:val="a4"/>
              <w:ind w:firstLine="0"/>
              <w:jc w:val="center"/>
            </w:pPr>
            <w:r>
              <w:t>план на 20</w:t>
            </w:r>
            <w:r w:rsidR="00B938A8">
              <w:t>19</w:t>
            </w:r>
            <w:r>
              <w:t xml:space="preserve"> год</w:t>
            </w:r>
          </w:p>
        </w:tc>
        <w:tc>
          <w:tcPr>
            <w:tcW w:w="0" w:type="auto"/>
            <w:vMerge w:val="restart"/>
            <w:vAlign w:val="center"/>
          </w:tcPr>
          <w:p w:rsidR="00FE110A" w:rsidRDefault="00FE110A" w:rsidP="00B938A8">
            <w:pPr>
              <w:pStyle w:val="a4"/>
              <w:ind w:firstLine="0"/>
              <w:jc w:val="center"/>
            </w:pPr>
            <w:r>
              <w:t>факт за 20</w:t>
            </w:r>
            <w:r w:rsidR="00B938A8">
              <w:t>19</w:t>
            </w:r>
            <w:r>
              <w:t xml:space="preserve"> год</w:t>
            </w:r>
          </w:p>
        </w:tc>
        <w:tc>
          <w:tcPr>
            <w:tcW w:w="0" w:type="auto"/>
            <w:gridSpan w:val="2"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  <w:r>
              <w:t xml:space="preserve">фактическое выполнение </w:t>
            </w:r>
            <w:proofErr w:type="gramStart"/>
            <w:r>
              <w:t>в</w:t>
            </w:r>
            <w:proofErr w:type="gramEnd"/>
            <w:r>
              <w:t xml:space="preserve"> %</w:t>
            </w:r>
          </w:p>
        </w:tc>
      </w:tr>
      <w:tr w:rsidR="00AA64F7" w:rsidTr="00FE110A">
        <w:trPr>
          <w:trHeight w:val="20"/>
        </w:trPr>
        <w:tc>
          <w:tcPr>
            <w:tcW w:w="0" w:type="auto"/>
            <w:vMerge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FE110A" w:rsidRDefault="00FE110A" w:rsidP="00FE110A">
            <w:pPr>
              <w:pStyle w:val="a4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FE110A" w:rsidRDefault="00FE110A" w:rsidP="00B938A8">
            <w:pPr>
              <w:pStyle w:val="a4"/>
              <w:ind w:firstLine="0"/>
              <w:jc w:val="center"/>
            </w:pPr>
            <w:r>
              <w:t>к плану на 20</w:t>
            </w:r>
            <w:r w:rsidR="00B938A8">
              <w:t>19</w:t>
            </w:r>
            <w:r>
              <w:t xml:space="preserve"> год</w:t>
            </w:r>
          </w:p>
        </w:tc>
        <w:tc>
          <w:tcPr>
            <w:tcW w:w="0" w:type="auto"/>
            <w:vAlign w:val="center"/>
          </w:tcPr>
          <w:p w:rsidR="00FE110A" w:rsidRDefault="00FE110A" w:rsidP="00B938A8">
            <w:pPr>
              <w:pStyle w:val="a4"/>
              <w:ind w:firstLine="0"/>
              <w:jc w:val="center"/>
            </w:pPr>
            <w:r>
              <w:t>к 20</w:t>
            </w:r>
            <w:r w:rsidR="00B938A8">
              <w:t>19</w:t>
            </w:r>
            <w:r>
              <w:t xml:space="preserve"> году</w:t>
            </w:r>
          </w:p>
        </w:tc>
      </w:tr>
      <w:tr w:rsidR="00AA64F7" w:rsidTr="00FE110A">
        <w:tc>
          <w:tcPr>
            <w:tcW w:w="0" w:type="auto"/>
          </w:tcPr>
          <w:p w:rsidR="00FE110A" w:rsidRDefault="00FE110A" w:rsidP="00FE110A">
            <w:pPr>
              <w:pStyle w:val="a4"/>
              <w:numPr>
                <w:ilvl w:val="0"/>
                <w:numId w:val="41"/>
              </w:numPr>
              <w:jc w:val="center"/>
            </w:pPr>
          </w:p>
        </w:tc>
        <w:tc>
          <w:tcPr>
            <w:tcW w:w="0" w:type="auto"/>
          </w:tcPr>
          <w:p w:rsidR="00FE110A" w:rsidRDefault="00FE110A" w:rsidP="00FE110A">
            <w:pPr>
              <w:pStyle w:val="a4"/>
              <w:numPr>
                <w:ilvl w:val="0"/>
                <w:numId w:val="41"/>
              </w:numPr>
              <w:jc w:val="center"/>
            </w:pPr>
          </w:p>
        </w:tc>
        <w:tc>
          <w:tcPr>
            <w:tcW w:w="0" w:type="auto"/>
          </w:tcPr>
          <w:p w:rsidR="00FE110A" w:rsidRDefault="00FE110A" w:rsidP="00FE110A">
            <w:pPr>
              <w:pStyle w:val="a4"/>
              <w:numPr>
                <w:ilvl w:val="0"/>
                <w:numId w:val="41"/>
              </w:numPr>
              <w:jc w:val="center"/>
            </w:pPr>
          </w:p>
        </w:tc>
        <w:tc>
          <w:tcPr>
            <w:tcW w:w="0" w:type="auto"/>
          </w:tcPr>
          <w:p w:rsidR="00FE110A" w:rsidRDefault="00FE110A" w:rsidP="00FE110A">
            <w:pPr>
              <w:pStyle w:val="a4"/>
              <w:numPr>
                <w:ilvl w:val="0"/>
                <w:numId w:val="41"/>
              </w:numPr>
              <w:jc w:val="center"/>
            </w:pPr>
          </w:p>
        </w:tc>
        <w:tc>
          <w:tcPr>
            <w:tcW w:w="0" w:type="auto"/>
          </w:tcPr>
          <w:p w:rsidR="00FE110A" w:rsidRDefault="00FE110A" w:rsidP="00FE110A">
            <w:pPr>
              <w:pStyle w:val="a4"/>
              <w:numPr>
                <w:ilvl w:val="0"/>
                <w:numId w:val="41"/>
              </w:numPr>
              <w:jc w:val="center"/>
            </w:pPr>
          </w:p>
        </w:tc>
        <w:tc>
          <w:tcPr>
            <w:tcW w:w="0" w:type="auto"/>
          </w:tcPr>
          <w:p w:rsidR="00FE110A" w:rsidRDefault="00FE110A" w:rsidP="00FE110A">
            <w:pPr>
              <w:pStyle w:val="a4"/>
              <w:numPr>
                <w:ilvl w:val="0"/>
                <w:numId w:val="41"/>
              </w:numPr>
              <w:jc w:val="center"/>
            </w:pPr>
          </w:p>
        </w:tc>
      </w:tr>
      <w:tr w:rsidR="00AA64F7" w:rsidTr="00FE110A">
        <w:tc>
          <w:tcPr>
            <w:tcW w:w="0" w:type="auto"/>
          </w:tcPr>
          <w:p w:rsidR="00BF32FA" w:rsidRPr="00B938A8" w:rsidRDefault="00BF32FA" w:rsidP="00AA64F7">
            <w:pPr>
              <w:pStyle w:val="a4"/>
              <w:jc w:val="left"/>
            </w:pPr>
            <w:r>
              <w:t xml:space="preserve">Общая потребность в средствах на выплату пенсий и пособий на погребение, </w:t>
            </w:r>
            <w:r>
              <w:t>млрд</w:t>
            </w:r>
            <w:r w:rsidRPr="00B938A8">
              <w:t>.</w:t>
            </w:r>
          </w:p>
          <w:p w:rsidR="00BF32FA" w:rsidRDefault="00BF32FA" w:rsidP="00AA64F7">
            <w:pPr>
              <w:pStyle w:val="a4"/>
              <w:ind w:firstLine="0"/>
              <w:jc w:val="left"/>
            </w:pPr>
            <w:r>
              <w:t>руб.</w:t>
            </w:r>
          </w:p>
        </w:tc>
        <w:tc>
          <w:tcPr>
            <w:tcW w:w="0" w:type="auto"/>
          </w:tcPr>
          <w:p w:rsidR="00BF32FA" w:rsidRPr="00A662FF" w:rsidRDefault="00BF32FA" w:rsidP="00A662FF">
            <w:pPr>
              <w:pStyle w:val="af3"/>
              <w:rPr>
                <w:sz w:val="28"/>
                <w:szCs w:val="28"/>
                <w:lang w:val="en-US"/>
              </w:rPr>
            </w:pPr>
            <w:r w:rsidRPr="00A662FF">
              <w:rPr>
                <w:sz w:val="28"/>
                <w:szCs w:val="28"/>
              </w:rPr>
              <w:t>38,5</w:t>
            </w:r>
          </w:p>
          <w:p w:rsidR="00BF32FA" w:rsidRPr="00A662FF" w:rsidRDefault="00BF32FA" w:rsidP="00A662FF">
            <w:pPr>
              <w:pStyle w:val="af3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BF32FA" w:rsidRPr="00A662FF" w:rsidRDefault="00AA64F7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46,2</w:t>
            </w:r>
          </w:p>
        </w:tc>
        <w:tc>
          <w:tcPr>
            <w:tcW w:w="0" w:type="auto"/>
          </w:tcPr>
          <w:p w:rsidR="00BF32FA" w:rsidRPr="00A662FF" w:rsidRDefault="00BF32FA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  <w:shd w:val="clear" w:color="auto" w:fill="FFFFFF"/>
              </w:rPr>
              <w:t>45</w:t>
            </w:r>
          </w:p>
        </w:tc>
        <w:tc>
          <w:tcPr>
            <w:tcW w:w="0" w:type="auto"/>
          </w:tcPr>
          <w:p w:rsidR="00AA64F7" w:rsidRPr="00A662FF" w:rsidRDefault="00A662FF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A662FF" w:rsidRPr="00A662FF" w:rsidRDefault="00A662FF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97,4</w:t>
            </w:r>
          </w:p>
          <w:p w:rsidR="00BF32FA" w:rsidRPr="00A662FF" w:rsidRDefault="00BF32FA" w:rsidP="00A662FF">
            <w:pPr>
              <w:pStyle w:val="af3"/>
              <w:rPr>
                <w:sz w:val="28"/>
                <w:szCs w:val="28"/>
              </w:rPr>
            </w:pPr>
          </w:p>
        </w:tc>
      </w:tr>
      <w:tr w:rsidR="00AA64F7" w:rsidTr="00FE110A">
        <w:tc>
          <w:tcPr>
            <w:tcW w:w="0" w:type="auto"/>
          </w:tcPr>
          <w:p w:rsidR="00BF32FA" w:rsidRDefault="00BF32FA" w:rsidP="00AA64F7">
            <w:pPr>
              <w:pStyle w:val="a4"/>
              <w:ind w:firstLine="0"/>
              <w:jc w:val="left"/>
            </w:pPr>
            <w:r>
              <w:t>Количество получателей пенсий (среднегодовое), тыс. чел.</w:t>
            </w:r>
          </w:p>
        </w:tc>
        <w:tc>
          <w:tcPr>
            <w:tcW w:w="0" w:type="auto"/>
          </w:tcPr>
          <w:p w:rsidR="00BF32FA" w:rsidRPr="00A662FF" w:rsidRDefault="00BF32FA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674</w:t>
            </w:r>
          </w:p>
        </w:tc>
        <w:tc>
          <w:tcPr>
            <w:tcW w:w="0" w:type="auto"/>
          </w:tcPr>
          <w:p w:rsidR="00BF32FA" w:rsidRPr="00A662FF" w:rsidRDefault="00AA64F7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674</w:t>
            </w:r>
          </w:p>
        </w:tc>
        <w:tc>
          <w:tcPr>
            <w:tcW w:w="0" w:type="auto"/>
          </w:tcPr>
          <w:p w:rsidR="00BF32FA" w:rsidRPr="00A662FF" w:rsidRDefault="009A308A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674</w:t>
            </w:r>
          </w:p>
        </w:tc>
        <w:tc>
          <w:tcPr>
            <w:tcW w:w="0" w:type="auto"/>
          </w:tcPr>
          <w:p w:rsidR="00BF32FA" w:rsidRPr="00A662FF" w:rsidRDefault="00A662FF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BF32FA" w:rsidRPr="00A662FF" w:rsidRDefault="00A662FF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100</w:t>
            </w:r>
          </w:p>
        </w:tc>
      </w:tr>
      <w:tr w:rsidR="00AA64F7" w:rsidTr="00FE110A">
        <w:tc>
          <w:tcPr>
            <w:tcW w:w="0" w:type="auto"/>
          </w:tcPr>
          <w:p w:rsidR="00BF32FA" w:rsidRDefault="00BF32FA" w:rsidP="00AA64F7">
            <w:pPr>
              <w:pStyle w:val="a4"/>
              <w:ind w:firstLine="0"/>
              <w:jc w:val="left"/>
            </w:pPr>
            <w:r>
              <w:t>Среднемесячный размер выплаты на одного пенсионера, руб.</w:t>
            </w:r>
          </w:p>
        </w:tc>
        <w:tc>
          <w:tcPr>
            <w:tcW w:w="0" w:type="auto"/>
          </w:tcPr>
          <w:p w:rsidR="00BF32FA" w:rsidRPr="00A662FF" w:rsidRDefault="00BF32FA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rFonts w:ascii="Open Sans" w:hAnsi="Open Sans"/>
                <w:color w:val="424242"/>
                <w:sz w:val="28"/>
                <w:szCs w:val="28"/>
                <w:lang w:val="en-US"/>
              </w:rPr>
              <w:t>4 919</w:t>
            </w:r>
          </w:p>
        </w:tc>
        <w:tc>
          <w:tcPr>
            <w:tcW w:w="0" w:type="auto"/>
          </w:tcPr>
          <w:p w:rsidR="00BF32FA" w:rsidRPr="00A662FF" w:rsidRDefault="00AA64F7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6197</w:t>
            </w:r>
          </w:p>
        </w:tc>
        <w:tc>
          <w:tcPr>
            <w:tcW w:w="0" w:type="auto"/>
          </w:tcPr>
          <w:p w:rsidR="00BF32FA" w:rsidRPr="00A662FF" w:rsidRDefault="00BF32FA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6 167</w:t>
            </w:r>
          </w:p>
          <w:p w:rsidR="00BF32FA" w:rsidRPr="00A662FF" w:rsidRDefault="00BF32FA" w:rsidP="00A662FF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F32FA" w:rsidRPr="00A662FF" w:rsidRDefault="00A662FF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BF32FA" w:rsidRPr="00A662FF" w:rsidRDefault="00A662FF" w:rsidP="00A662FF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99,5</w:t>
            </w:r>
          </w:p>
        </w:tc>
      </w:tr>
    </w:tbl>
    <w:p w:rsidR="00FF343E" w:rsidRDefault="00FF343E" w:rsidP="00C70C25">
      <w:pPr>
        <w:pStyle w:val="a4"/>
      </w:pPr>
    </w:p>
    <w:p w:rsidR="00FF343E" w:rsidRDefault="00FF343E" w:rsidP="00FF343E">
      <w:pPr>
        <w:pStyle w:val="a4"/>
      </w:pPr>
      <w:r>
        <w:t>Обязательным является анализ основных показателей ПФ ДНР (Управления ПФ  ДНР),  а  также  вывод  студента  о  причинах  изменения  того  или  иного показателя.</w:t>
      </w:r>
    </w:p>
    <w:p w:rsidR="005C51B7" w:rsidRDefault="005C51B7" w:rsidP="00FF343E">
      <w:pPr>
        <w:pStyle w:val="a4"/>
      </w:pPr>
    </w:p>
    <w:p w:rsidR="00FF343E" w:rsidRDefault="00FF343E" w:rsidP="00FF343E">
      <w:pPr>
        <w:pStyle w:val="a4"/>
      </w:pPr>
      <w:r>
        <w:br w:type="page"/>
      </w:r>
    </w:p>
    <w:p w:rsidR="00C70C25" w:rsidRDefault="00FF343E" w:rsidP="00FF343E">
      <w:pPr>
        <w:pStyle w:val="1"/>
      </w:pPr>
      <w:r w:rsidRPr="00FF343E">
        <w:lastRenderedPageBreak/>
        <w:t>Анализ доходов и расходов Пенсионного фонда</w:t>
      </w:r>
    </w:p>
    <w:p w:rsidR="00FF343E" w:rsidRDefault="00FF343E" w:rsidP="00FF343E">
      <w:pPr>
        <w:pStyle w:val="a4"/>
      </w:pPr>
    </w:p>
    <w:p w:rsidR="00FF343E" w:rsidRDefault="00FF343E" w:rsidP="00FF343E">
      <w:pPr>
        <w:pStyle w:val="a4"/>
      </w:pPr>
      <w:r>
        <w:t xml:space="preserve">При раскрытии содержания данного вопроса отчета  следует: </w:t>
      </w:r>
    </w:p>
    <w:p w:rsidR="00FF343E" w:rsidRDefault="00FF343E" w:rsidP="00FF343E">
      <w:pPr>
        <w:pStyle w:val="a4"/>
      </w:pPr>
      <w:r>
        <w:t xml:space="preserve">- рассмотреть источники формирования средств ПФ ДНР; </w:t>
      </w:r>
    </w:p>
    <w:p w:rsidR="00FF343E" w:rsidRDefault="00FF343E" w:rsidP="00FF343E">
      <w:pPr>
        <w:pStyle w:val="a4"/>
      </w:pPr>
      <w:r>
        <w:t>-  провести  анализ  динамики  расходов  на  выплату  пенсий  и  пособий  на погребение ПФ ДНР (табл. 5.3.2).</w:t>
      </w:r>
      <w:bookmarkStart w:id="6" w:name="_GoBack"/>
      <w:bookmarkEnd w:id="6"/>
    </w:p>
    <w:p w:rsidR="003318C7" w:rsidRDefault="003318C7" w:rsidP="00FF343E">
      <w:pPr>
        <w:pStyle w:val="a4"/>
      </w:pPr>
    </w:p>
    <w:p w:rsidR="003318C7" w:rsidRDefault="003318C7" w:rsidP="003318C7">
      <w:pPr>
        <w:pStyle w:val="a0"/>
      </w:pPr>
      <w:r>
        <w:t>Динамика расходов на выплату пенсий и пособий на погребение в 20__-20__ гг.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4485"/>
        <w:gridCol w:w="875"/>
        <w:gridCol w:w="875"/>
        <w:gridCol w:w="1884"/>
        <w:gridCol w:w="1734"/>
      </w:tblGrid>
      <w:tr w:rsidR="003318C7" w:rsidTr="003318C7">
        <w:trPr>
          <w:trHeight w:val="20"/>
        </w:trPr>
        <w:tc>
          <w:tcPr>
            <w:tcW w:w="2276" w:type="pct"/>
            <w:vAlign w:val="center"/>
          </w:tcPr>
          <w:p w:rsidR="003318C7" w:rsidRDefault="003318C7" w:rsidP="003318C7">
            <w:pPr>
              <w:pStyle w:val="af3"/>
            </w:pPr>
            <w:r w:rsidRPr="00FF343E">
              <w:t>Наименование показателя</w:t>
            </w:r>
          </w:p>
        </w:tc>
        <w:tc>
          <w:tcPr>
            <w:tcW w:w="444" w:type="pct"/>
            <w:vAlign w:val="center"/>
          </w:tcPr>
          <w:p w:rsidR="003318C7" w:rsidRPr="0040211C" w:rsidRDefault="003318C7" w:rsidP="003318C7">
            <w:pPr>
              <w:pStyle w:val="af3"/>
            </w:pPr>
            <w:r w:rsidRPr="0040211C">
              <w:t>20__</w:t>
            </w:r>
          </w:p>
        </w:tc>
        <w:tc>
          <w:tcPr>
            <w:tcW w:w="444" w:type="pct"/>
            <w:vAlign w:val="center"/>
          </w:tcPr>
          <w:p w:rsidR="003318C7" w:rsidRPr="0040211C" w:rsidRDefault="003318C7" w:rsidP="003318C7">
            <w:pPr>
              <w:pStyle w:val="af3"/>
            </w:pPr>
            <w:r w:rsidRPr="0040211C">
              <w:t>20__</w:t>
            </w:r>
          </w:p>
        </w:tc>
        <w:tc>
          <w:tcPr>
            <w:tcW w:w="956" w:type="pct"/>
            <w:vAlign w:val="center"/>
          </w:tcPr>
          <w:p w:rsidR="003318C7" w:rsidRDefault="003318C7" w:rsidP="003318C7">
            <w:pPr>
              <w:pStyle w:val="af3"/>
            </w:pPr>
            <w:r>
              <w:t xml:space="preserve">Абсолютное </w:t>
            </w:r>
          </w:p>
          <w:p w:rsidR="003318C7" w:rsidRDefault="003318C7" w:rsidP="003318C7">
            <w:pPr>
              <w:pStyle w:val="af3"/>
            </w:pPr>
            <w:r>
              <w:t xml:space="preserve">отклонение, </w:t>
            </w:r>
          </w:p>
          <w:p w:rsidR="003318C7" w:rsidRPr="0040211C" w:rsidRDefault="003318C7" w:rsidP="003318C7">
            <w:pPr>
              <w:pStyle w:val="af3"/>
            </w:pPr>
            <w:r>
              <w:t xml:space="preserve">(+/-) </w:t>
            </w:r>
          </w:p>
        </w:tc>
        <w:tc>
          <w:tcPr>
            <w:tcW w:w="880" w:type="pct"/>
            <w:vAlign w:val="center"/>
          </w:tcPr>
          <w:p w:rsidR="003318C7" w:rsidRDefault="003318C7" w:rsidP="003318C7">
            <w:pPr>
              <w:pStyle w:val="af3"/>
            </w:pPr>
            <w:r>
              <w:t xml:space="preserve">Темп </w:t>
            </w:r>
          </w:p>
          <w:p w:rsidR="003318C7" w:rsidRDefault="003318C7" w:rsidP="003318C7">
            <w:pPr>
              <w:pStyle w:val="af3"/>
            </w:pPr>
            <w:r>
              <w:t xml:space="preserve">изменений, </w:t>
            </w:r>
          </w:p>
          <w:p w:rsidR="003318C7" w:rsidRPr="0040211C" w:rsidRDefault="003318C7" w:rsidP="003318C7">
            <w:pPr>
              <w:pStyle w:val="af3"/>
            </w:pPr>
            <w:r>
              <w:t>%</w:t>
            </w:r>
          </w:p>
        </w:tc>
      </w:tr>
      <w:tr w:rsidR="00FF343E" w:rsidTr="003318C7">
        <w:trPr>
          <w:trHeight w:val="20"/>
        </w:trPr>
        <w:tc>
          <w:tcPr>
            <w:tcW w:w="2276" w:type="pct"/>
            <w:vAlign w:val="center"/>
          </w:tcPr>
          <w:p w:rsidR="00FF343E" w:rsidRDefault="00FF343E" w:rsidP="00873332">
            <w:pPr>
              <w:pStyle w:val="af3"/>
              <w:numPr>
                <w:ilvl w:val="0"/>
                <w:numId w:val="44"/>
              </w:numPr>
            </w:pPr>
          </w:p>
        </w:tc>
        <w:tc>
          <w:tcPr>
            <w:tcW w:w="444" w:type="pct"/>
            <w:vAlign w:val="center"/>
          </w:tcPr>
          <w:p w:rsidR="00FF343E" w:rsidRDefault="00FF343E" w:rsidP="00873332">
            <w:pPr>
              <w:pStyle w:val="af3"/>
              <w:numPr>
                <w:ilvl w:val="0"/>
                <w:numId w:val="44"/>
              </w:numPr>
            </w:pPr>
          </w:p>
        </w:tc>
        <w:tc>
          <w:tcPr>
            <w:tcW w:w="444" w:type="pct"/>
            <w:vAlign w:val="center"/>
          </w:tcPr>
          <w:p w:rsidR="00FF343E" w:rsidRDefault="00FF343E" w:rsidP="00873332">
            <w:pPr>
              <w:pStyle w:val="af3"/>
              <w:numPr>
                <w:ilvl w:val="0"/>
                <w:numId w:val="44"/>
              </w:numPr>
            </w:pPr>
          </w:p>
        </w:tc>
        <w:tc>
          <w:tcPr>
            <w:tcW w:w="956" w:type="pct"/>
            <w:vAlign w:val="center"/>
          </w:tcPr>
          <w:p w:rsidR="00FF343E" w:rsidRDefault="00FF343E" w:rsidP="00873332">
            <w:pPr>
              <w:pStyle w:val="af3"/>
              <w:numPr>
                <w:ilvl w:val="0"/>
                <w:numId w:val="44"/>
              </w:numPr>
            </w:pPr>
          </w:p>
        </w:tc>
        <w:tc>
          <w:tcPr>
            <w:tcW w:w="880" w:type="pct"/>
            <w:vAlign w:val="center"/>
          </w:tcPr>
          <w:p w:rsidR="00FF343E" w:rsidRDefault="00FF343E" w:rsidP="00873332">
            <w:pPr>
              <w:pStyle w:val="af3"/>
              <w:numPr>
                <w:ilvl w:val="0"/>
                <w:numId w:val="44"/>
              </w:numPr>
            </w:pPr>
          </w:p>
        </w:tc>
      </w:tr>
      <w:tr w:rsidR="00FF343E" w:rsidTr="003318C7">
        <w:trPr>
          <w:trHeight w:val="20"/>
        </w:trPr>
        <w:tc>
          <w:tcPr>
            <w:tcW w:w="2276" w:type="pct"/>
            <w:vAlign w:val="center"/>
          </w:tcPr>
          <w:p w:rsidR="00FF343E" w:rsidRDefault="003318C7" w:rsidP="003318C7">
            <w:pPr>
              <w:pStyle w:val="af3"/>
            </w:pPr>
            <w:r>
              <w:t xml:space="preserve">Расходы всего, в том числе: </w:t>
            </w:r>
          </w:p>
        </w:tc>
        <w:tc>
          <w:tcPr>
            <w:tcW w:w="444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444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956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880" w:type="pct"/>
            <w:vAlign w:val="center"/>
          </w:tcPr>
          <w:p w:rsidR="00FF343E" w:rsidRDefault="00FF343E" w:rsidP="003318C7">
            <w:pPr>
              <w:pStyle w:val="af3"/>
            </w:pPr>
          </w:p>
        </w:tc>
      </w:tr>
      <w:tr w:rsidR="00FF343E" w:rsidTr="003318C7">
        <w:trPr>
          <w:trHeight w:val="20"/>
        </w:trPr>
        <w:tc>
          <w:tcPr>
            <w:tcW w:w="2276" w:type="pct"/>
            <w:vAlign w:val="center"/>
          </w:tcPr>
          <w:p w:rsidR="00FF343E" w:rsidRDefault="003318C7" w:rsidP="000C4EBA">
            <w:pPr>
              <w:pStyle w:val="af3"/>
              <w:numPr>
                <w:ilvl w:val="0"/>
                <w:numId w:val="43"/>
              </w:numPr>
              <w:jc w:val="left"/>
            </w:pPr>
            <w:r>
              <w:t xml:space="preserve">на выплату пенсий гражданским пенсионерам </w:t>
            </w:r>
          </w:p>
        </w:tc>
        <w:tc>
          <w:tcPr>
            <w:tcW w:w="444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444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956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880" w:type="pct"/>
            <w:vAlign w:val="center"/>
          </w:tcPr>
          <w:p w:rsidR="00FF343E" w:rsidRDefault="00FF343E" w:rsidP="003318C7">
            <w:pPr>
              <w:pStyle w:val="af3"/>
            </w:pPr>
          </w:p>
        </w:tc>
      </w:tr>
      <w:tr w:rsidR="00FF343E" w:rsidTr="003318C7">
        <w:trPr>
          <w:trHeight w:val="20"/>
        </w:trPr>
        <w:tc>
          <w:tcPr>
            <w:tcW w:w="2276" w:type="pct"/>
            <w:vAlign w:val="center"/>
          </w:tcPr>
          <w:p w:rsidR="00FF343E" w:rsidRDefault="003318C7" w:rsidP="000C4EBA">
            <w:pPr>
              <w:pStyle w:val="af3"/>
              <w:numPr>
                <w:ilvl w:val="0"/>
                <w:numId w:val="43"/>
              </w:numPr>
              <w:jc w:val="left"/>
            </w:pPr>
            <w:r>
              <w:t xml:space="preserve">на  выплату  пенсий  из  числа военнослужащих  и  лиц начальствующего  и  рядового состава органов внутренних дел и членов их семей </w:t>
            </w:r>
          </w:p>
        </w:tc>
        <w:tc>
          <w:tcPr>
            <w:tcW w:w="444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444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956" w:type="pct"/>
            <w:vAlign w:val="center"/>
          </w:tcPr>
          <w:p w:rsidR="00FF343E" w:rsidRDefault="00FF343E" w:rsidP="003318C7">
            <w:pPr>
              <w:pStyle w:val="af3"/>
            </w:pPr>
          </w:p>
        </w:tc>
        <w:tc>
          <w:tcPr>
            <w:tcW w:w="880" w:type="pct"/>
            <w:vAlign w:val="center"/>
          </w:tcPr>
          <w:p w:rsidR="00FF343E" w:rsidRDefault="00FF343E" w:rsidP="003318C7">
            <w:pPr>
              <w:pStyle w:val="af3"/>
            </w:pPr>
          </w:p>
        </w:tc>
      </w:tr>
    </w:tbl>
    <w:p w:rsidR="00FF343E" w:rsidRDefault="00FF343E" w:rsidP="00792498">
      <w:pPr>
        <w:pStyle w:val="a4"/>
        <w:tabs>
          <w:tab w:val="left" w:pos="1190"/>
        </w:tabs>
      </w:pPr>
    </w:p>
    <w:p w:rsidR="00792498" w:rsidRDefault="00792498" w:rsidP="00792498">
      <w:pPr>
        <w:pStyle w:val="a4"/>
        <w:tabs>
          <w:tab w:val="left" w:pos="1190"/>
        </w:tabs>
      </w:pPr>
      <w:r>
        <w:t xml:space="preserve">После  формирования  табличных  данных  необходимо  проанализировать динамику  показателей.  При  этом  нужно  определить,  за  счет  каких  факторов произошло то или иное изменение. Сделать обоснованные выводы. </w:t>
      </w:r>
      <w:r>
        <w:cr/>
      </w:r>
    </w:p>
    <w:p w:rsidR="00FF343E" w:rsidRPr="00FF343E" w:rsidRDefault="00FF343E" w:rsidP="00FF343E">
      <w:pPr>
        <w:pStyle w:val="a4"/>
      </w:pPr>
    </w:p>
    <w:p w:rsidR="00C70C25" w:rsidRDefault="00C70C25" w:rsidP="00C70C25">
      <w:pPr>
        <w:pStyle w:val="a4"/>
      </w:pPr>
    </w:p>
    <w:p w:rsidR="00C70C25" w:rsidRPr="00C70C25" w:rsidRDefault="00C70C25" w:rsidP="00C70C25">
      <w:pPr>
        <w:pStyle w:val="a4"/>
        <w:sectPr w:rsidR="00C70C25" w:rsidRPr="00C70C25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Pr="00856214" w:rsidRDefault="00F9261E" w:rsidP="00F9261E">
      <w:pPr>
        <w:pStyle w:val="1"/>
        <w:numPr>
          <w:ilvl w:val="0"/>
          <w:numId w:val="0"/>
        </w:numPr>
        <w:rPr>
          <w:highlight w:val="yellow"/>
        </w:rPr>
      </w:pPr>
      <w:bookmarkStart w:id="7" w:name="_Toc10970702"/>
      <w:r w:rsidRPr="00856214">
        <w:rPr>
          <w:highlight w:val="yellow"/>
        </w:rPr>
        <w:lastRenderedPageBreak/>
        <w:t>заключение</w:t>
      </w:r>
      <w:bookmarkEnd w:id="7"/>
    </w:p>
    <w:p w:rsidR="002C036D" w:rsidRPr="00856214" w:rsidRDefault="002C036D" w:rsidP="002C036D">
      <w:pPr>
        <w:pStyle w:val="a4"/>
        <w:rPr>
          <w:highlight w:val="yellow"/>
        </w:rPr>
      </w:pPr>
      <w:r w:rsidRPr="00856214">
        <w:rPr>
          <w:highlight w:val="yellow"/>
        </w:rP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Pr="00856214" w:rsidRDefault="002C036D" w:rsidP="002C036D">
      <w:pPr>
        <w:pStyle w:val="a4"/>
        <w:rPr>
          <w:highlight w:val="yellow"/>
        </w:rPr>
      </w:pPr>
      <w:r w:rsidRPr="00856214">
        <w:rPr>
          <w:highlight w:val="yellow"/>
        </w:rP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856214" w:rsidRDefault="002C036D" w:rsidP="002C036D">
      <w:pPr>
        <w:pStyle w:val="a4"/>
        <w:rPr>
          <w:highlight w:val="yellow"/>
        </w:rPr>
      </w:pPr>
      <w:r w:rsidRPr="00856214">
        <w:rPr>
          <w:highlight w:val="yellow"/>
        </w:rPr>
        <w:t>Управление персоналом связано с разработкой и реализацией кадровой политики, основными целями которой являются:  удовлетворение потребности предприятия в кадрах;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856214">
        <w:rPr>
          <w:highlight w:val="yellow"/>
        </w:rPr>
        <w:t xml:space="preserve">При оценке кадрового потенциала </w:t>
      </w:r>
      <w:r w:rsidRPr="00856214">
        <w:rPr>
          <w:highlight w:val="yellow"/>
          <w:lang w:eastAsia="en-US"/>
        </w:rPr>
        <w:t>управления Пенсионного фонда Донецкой Народной Республики в Центрально - Городском районе г. Горловки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 w:rsidRPr="00856214">
        <w:rPr>
          <w:highlight w:val="yellow"/>
          <w:lang w:eastAsia="en-US"/>
        </w:rPr>
        <w:t xml:space="preserve"> работает полный штат сотрудников</w:t>
      </w:r>
      <w:r w:rsidRPr="00856214">
        <w:rPr>
          <w:highlight w:val="yellow"/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 w:rsidRPr="00856214">
        <w:rPr>
          <w:highlight w:val="yellow"/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</w:t>
      </w:r>
      <w:proofErr w:type="gramStart"/>
      <w:r w:rsidR="005058A5" w:rsidRPr="00856214">
        <w:rPr>
          <w:highlight w:val="yellow"/>
          <w:lang w:eastAsia="en-US"/>
        </w:rPr>
        <w:t>все</w:t>
      </w:r>
      <w:proofErr w:type="gramEnd"/>
      <w:r w:rsidR="005058A5" w:rsidRPr="00856214">
        <w:rPr>
          <w:highlight w:val="yellow"/>
          <w:lang w:eastAsia="en-US"/>
        </w:rPr>
        <w:t xml:space="preserve">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8" w:name="_Toc10970703"/>
      <w:r w:rsidRPr="005A41E9">
        <w:lastRenderedPageBreak/>
        <w:t>СПИСОК ЛИТЕРАТУРЫ</w:t>
      </w:r>
      <w:bookmarkEnd w:id="8"/>
    </w:p>
    <w:p w:rsidR="005058A5" w:rsidRDefault="005058A5" w:rsidP="00DF6CB7">
      <w:pPr>
        <w:pStyle w:val="a4"/>
      </w:pPr>
    </w:p>
    <w:p w:rsidR="005E6199" w:rsidRDefault="005E6199" w:rsidP="005E6199">
      <w:pPr>
        <w:pStyle w:val="a"/>
      </w:pPr>
      <w:r>
        <w:t>Конституция  Донецкой  Народной  Республики  Протокол  №  1  от</w:t>
      </w:r>
      <w:r w:rsidR="00A35688">
        <w:t xml:space="preserve"> </w:t>
      </w:r>
      <w:r>
        <w:t xml:space="preserve">14.05.2014. </w:t>
      </w:r>
    </w:p>
    <w:p w:rsidR="005E6199" w:rsidRDefault="005E6199" w:rsidP="00D549EB">
      <w:pPr>
        <w:pStyle w:val="a"/>
      </w:pPr>
      <w:r>
        <w:t>Закон Донецкой Народной Республики «О бухгалтерском учете и финансовой отчетности»  (Постановление  №I-72П-НС).  Опубликован  20.03.2015.  -</w:t>
      </w:r>
      <w:r w:rsidR="00D549EB">
        <w:t xml:space="preserve"> </w:t>
      </w:r>
      <w:r>
        <w:t xml:space="preserve">[Режим доступа: </w:t>
      </w:r>
      <w:r w:rsidR="00D549EB" w:rsidRPr="00D549EB">
        <w:t>https://dnronline.su/zakony-2/</w:t>
      </w:r>
      <w:r>
        <w:t xml:space="preserve">] </w:t>
      </w:r>
    </w:p>
    <w:p w:rsidR="005E6199" w:rsidRDefault="005E6199" w:rsidP="005E6199">
      <w:pPr>
        <w:pStyle w:val="a"/>
      </w:pPr>
      <w:r>
        <w:t xml:space="preserve">Постановление  №  4-3  от  28.03.2016  «Об  установлении  размера республиканской  пошлины  за  выдачу  лицензий,  выдачу  копий,  дубликата лицензий,  переоформление  лицензий  на  отдельные  виды  хозяйственной деятельности» </w:t>
      </w:r>
    </w:p>
    <w:p w:rsidR="005E6199" w:rsidRDefault="005E6199" w:rsidP="005E6199">
      <w:pPr>
        <w:pStyle w:val="a"/>
      </w:pPr>
      <w:r>
        <w:t>Приказ №  68 от  09.03.2016  «Об  утверждении  Временного  порядка  внесения, возврата и  обращения  в доход  государства сре</w:t>
      </w:r>
      <w:proofErr w:type="gramStart"/>
      <w:r>
        <w:t>дств в сл</w:t>
      </w:r>
      <w:proofErr w:type="gramEnd"/>
      <w:r>
        <w:t xml:space="preserve">учае  применения  залога как меры пресечения» </w:t>
      </w:r>
    </w:p>
    <w:p w:rsidR="005E6199" w:rsidRDefault="005E6199" w:rsidP="005E6199">
      <w:pPr>
        <w:pStyle w:val="a"/>
      </w:pPr>
      <w:r>
        <w:t>Бланк, И. А. Управление прибылью / И. А. Бланк. – К.</w:t>
      </w:r>
      <w:proofErr w:type="gramStart"/>
      <w:r>
        <w:t xml:space="preserve"> :</w:t>
      </w:r>
      <w:proofErr w:type="gramEnd"/>
      <w:r>
        <w:t xml:space="preserve"> Ника-Центр, 2007. – 768 с. – ISBN: 978-966-521-429-8. </w:t>
      </w:r>
    </w:p>
    <w:p w:rsidR="005E6199" w:rsidRDefault="005E6199" w:rsidP="005E6199">
      <w:pPr>
        <w:pStyle w:val="a"/>
      </w:pPr>
      <w:r>
        <w:t xml:space="preserve">Бланк, И. А. Финансовый менеджмент: Учебный курс. - 2-е изд., </w:t>
      </w:r>
      <w:proofErr w:type="spellStart"/>
      <w:r>
        <w:t>перераб</w:t>
      </w:r>
      <w:proofErr w:type="spellEnd"/>
      <w:r>
        <w:t xml:space="preserve">. и доп. - К.: </w:t>
      </w:r>
      <w:proofErr w:type="spellStart"/>
      <w:r>
        <w:t>Эльга</w:t>
      </w:r>
      <w:proofErr w:type="spellEnd"/>
      <w:r>
        <w:t xml:space="preserve">, Ника-Центр, 2007. - 521с. </w:t>
      </w:r>
    </w:p>
    <w:p w:rsidR="005E6199" w:rsidRDefault="005E6199" w:rsidP="005E6199">
      <w:pPr>
        <w:pStyle w:val="a"/>
      </w:pPr>
      <w:proofErr w:type="spellStart"/>
      <w:r>
        <w:t>Кабанцева</w:t>
      </w:r>
      <w:proofErr w:type="spellEnd"/>
      <w:r>
        <w:t>,  Н.  Г.  Финансы  [Электронный  ресурс]  :  учеб</w:t>
      </w:r>
      <w:proofErr w:type="gramStart"/>
      <w:r>
        <w:t>.</w:t>
      </w:r>
      <w:proofErr w:type="gramEnd"/>
      <w:r>
        <w:t xml:space="preserve">  </w:t>
      </w:r>
      <w:proofErr w:type="gramStart"/>
      <w:r>
        <w:t>п</w:t>
      </w:r>
      <w:proofErr w:type="gramEnd"/>
      <w:r>
        <w:t xml:space="preserve">особие  /  Н.  Г. </w:t>
      </w:r>
      <w:proofErr w:type="spellStart"/>
      <w:r>
        <w:t>Кабанцева</w:t>
      </w:r>
      <w:proofErr w:type="spellEnd"/>
      <w:r>
        <w:t>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дан. – Ростов-н</w:t>
      </w:r>
      <w:proofErr w:type="gramStart"/>
      <w:r>
        <w:t>а-</w:t>
      </w:r>
      <w:proofErr w:type="gramEnd"/>
      <w:r>
        <w:t xml:space="preserve"> Дону : Феникс, 2012. – 168 с. – Режим доступа</w:t>
      </w:r>
      <w:proofErr w:type="gramStart"/>
      <w:r>
        <w:t xml:space="preserve"> :</w:t>
      </w:r>
      <w:proofErr w:type="gramEnd"/>
      <w:r>
        <w:t xml:space="preserve"> http://www.iprbookshop.ru/4986* </w:t>
      </w:r>
    </w:p>
    <w:p w:rsidR="00BF32FA" w:rsidRPr="00BF32FA" w:rsidRDefault="00BF32FA" w:rsidP="00BF32FA">
      <w:pPr>
        <w:pStyle w:val="a"/>
      </w:pPr>
      <w:r>
        <w:t xml:space="preserve">Пенсии в ДНР: итоги 2018 и планы </w:t>
      </w:r>
      <w:proofErr w:type="spellStart"/>
      <w:r>
        <w:t>Минсоцполитики</w:t>
      </w:r>
      <w:proofErr w:type="spellEnd"/>
      <w:r>
        <w:t xml:space="preserve"> на 2019</w:t>
      </w:r>
      <w:r>
        <w:t xml:space="preserve">. </w:t>
      </w:r>
      <w:r>
        <w:t>[Электронный  ресурс]</w:t>
      </w:r>
      <w:r>
        <w:t xml:space="preserve"> </w:t>
      </w:r>
      <w:r w:rsidRPr="00BF32FA">
        <w:rPr>
          <w:lang w:val="en-US"/>
        </w:rPr>
        <w:t>http</w:t>
      </w:r>
      <w:r w:rsidRPr="00BF32FA">
        <w:t>://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r w:rsidRPr="00BF32FA">
        <w:rPr>
          <w:lang w:val="en-US"/>
        </w:rPr>
        <w:t>live</w:t>
      </w:r>
      <w:r w:rsidRPr="00BF32FA">
        <w:t>.</w:t>
      </w:r>
      <w:proofErr w:type="spellStart"/>
      <w:r w:rsidRPr="00BF32FA">
        <w:rPr>
          <w:lang w:val="en-US"/>
        </w:rPr>
        <w:t>ru</w:t>
      </w:r>
      <w:proofErr w:type="spellEnd"/>
      <w:r w:rsidRPr="00BF32FA">
        <w:t>/</w:t>
      </w:r>
      <w:proofErr w:type="spellStart"/>
      <w:r w:rsidRPr="00BF32FA">
        <w:rPr>
          <w:lang w:val="en-US"/>
        </w:rPr>
        <w:t>pensii</w:t>
      </w:r>
      <w:proofErr w:type="spellEnd"/>
      <w:r w:rsidRPr="00BF32FA">
        <w:t>-</w:t>
      </w:r>
      <w:r w:rsidRPr="00BF32FA">
        <w:rPr>
          <w:lang w:val="en-US"/>
        </w:rPr>
        <w:t>v</w:t>
      </w:r>
      <w:r w:rsidRPr="00BF32FA">
        <w:t>-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proofErr w:type="spellStart"/>
      <w:r w:rsidRPr="00BF32FA">
        <w:rPr>
          <w:lang w:val="en-US"/>
        </w:rPr>
        <w:t>itogi</w:t>
      </w:r>
      <w:proofErr w:type="spellEnd"/>
      <w:r w:rsidRPr="00BF32FA">
        <w:t>-2018-</w:t>
      </w:r>
      <w:r w:rsidRPr="00BF32FA">
        <w:rPr>
          <w:lang w:val="en-US"/>
        </w:rPr>
        <w:t>i</w:t>
      </w:r>
      <w:r w:rsidRPr="00BF32FA">
        <w:t>-</w:t>
      </w:r>
      <w:proofErr w:type="spellStart"/>
      <w:r w:rsidRPr="00BF32FA">
        <w:rPr>
          <w:lang w:val="en-US"/>
        </w:rPr>
        <w:t>planyi</w:t>
      </w:r>
      <w:proofErr w:type="spellEnd"/>
      <w:r w:rsidRPr="00BF32FA">
        <w:t>-</w:t>
      </w:r>
      <w:proofErr w:type="spellStart"/>
      <w:r w:rsidRPr="00BF32FA">
        <w:rPr>
          <w:lang w:val="en-US"/>
        </w:rPr>
        <w:t>minsotspolitiki</w:t>
      </w:r>
      <w:proofErr w:type="spellEnd"/>
      <w:r w:rsidRPr="00BF32FA">
        <w:t>-</w:t>
      </w:r>
      <w:proofErr w:type="spellStart"/>
      <w:r w:rsidRPr="00BF32FA">
        <w:rPr>
          <w:lang w:val="en-US"/>
        </w:rPr>
        <w:t>na</w:t>
      </w:r>
      <w:proofErr w:type="spellEnd"/>
      <w:r w:rsidRPr="00BF32FA">
        <w:t>-2019/</w:t>
      </w:r>
      <w:hyperlink r:id="rId11" w:history="1">
        <w:r w:rsidRPr="00BF32FA">
          <w:rPr>
            <w:rStyle w:val="ab"/>
            <w:lang w:val="en-US"/>
          </w:rPr>
          <w:t>http</w:t>
        </w:r>
        <w:r w:rsidRPr="00BF32FA">
          <w:rPr>
            <w:rStyle w:val="ab"/>
          </w:rPr>
          <w:t>://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live</w:t>
        </w:r>
        <w:r w:rsidRPr="00BF32FA">
          <w:rPr>
            <w:rStyle w:val="ab"/>
          </w:rPr>
          <w:t>.</w:t>
        </w:r>
        <w:proofErr w:type="spellStart"/>
        <w:r w:rsidRPr="00BF32FA">
          <w:rPr>
            <w:rStyle w:val="ab"/>
            <w:lang w:val="en-US"/>
          </w:rPr>
          <w:t>ru</w:t>
        </w:r>
        <w:proofErr w:type="spellEnd"/>
        <w:r w:rsidRPr="00BF32FA">
          <w:rPr>
            <w:rStyle w:val="ab"/>
          </w:rPr>
          <w:t>/</w:t>
        </w:r>
        <w:proofErr w:type="spellStart"/>
        <w:r w:rsidRPr="00BF32FA">
          <w:rPr>
            <w:rStyle w:val="ab"/>
            <w:lang w:val="en-US"/>
          </w:rPr>
          <w:t>pensii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v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itogi</w:t>
        </w:r>
        <w:proofErr w:type="spellEnd"/>
        <w:r w:rsidRPr="00BF32FA">
          <w:rPr>
            <w:rStyle w:val="ab"/>
          </w:rPr>
          <w:t>-2018-</w:t>
        </w:r>
        <w:r w:rsidRPr="00BF32FA">
          <w:rPr>
            <w:rStyle w:val="ab"/>
            <w:lang w:val="en-US"/>
          </w:rPr>
          <w:t>i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planyi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minsotspolitiki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na</w:t>
        </w:r>
        <w:proofErr w:type="spellEnd"/>
        <w:r w:rsidRPr="00BF32FA">
          <w:rPr>
            <w:rStyle w:val="ab"/>
          </w:rPr>
          <w:t>-2019/</w:t>
        </w:r>
      </w:hyperlink>
    </w:p>
    <w:sectPr w:rsidR="00BF32FA" w:rsidRPr="00B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D1" w:rsidRDefault="00934AD1" w:rsidP="00B547F0">
      <w:pPr>
        <w:spacing w:after="0" w:line="240" w:lineRule="auto"/>
      </w:pPr>
      <w:r>
        <w:separator/>
      </w:r>
    </w:p>
  </w:endnote>
  <w:endnote w:type="continuationSeparator" w:id="0">
    <w:p w:rsidR="00934AD1" w:rsidRDefault="00934AD1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D1" w:rsidRDefault="00934AD1" w:rsidP="00B547F0">
      <w:pPr>
        <w:spacing w:after="0" w:line="240" w:lineRule="auto"/>
      </w:pPr>
      <w:r>
        <w:separator/>
      </w:r>
    </w:p>
  </w:footnote>
  <w:footnote w:type="continuationSeparator" w:id="0">
    <w:p w:rsidR="00934AD1" w:rsidRDefault="00934AD1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8641E" w:rsidRPr="00F74193" w:rsidRDefault="0078641E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63DC"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8641E" w:rsidRDefault="0078641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F84595"/>
    <w:multiLevelType w:val="hybridMultilevel"/>
    <w:tmpl w:val="62FA7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6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>
    <w:nsid w:val="26A9593C"/>
    <w:multiLevelType w:val="hybridMultilevel"/>
    <w:tmpl w:val="41D4BCEC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342FC5"/>
    <w:multiLevelType w:val="hybridMultilevel"/>
    <w:tmpl w:val="985EED2E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E7E76"/>
    <w:multiLevelType w:val="hybridMultilevel"/>
    <w:tmpl w:val="6BE0D9BE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E76EB9"/>
    <w:multiLevelType w:val="hybridMultilevel"/>
    <w:tmpl w:val="E5882B5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1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1973174"/>
    <w:multiLevelType w:val="multilevel"/>
    <w:tmpl w:val="4712F28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3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1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40"/>
  </w:num>
  <w:num w:numId="3">
    <w:abstractNumId w:val="36"/>
  </w:num>
  <w:num w:numId="4">
    <w:abstractNumId w:val="35"/>
  </w:num>
  <w:num w:numId="5">
    <w:abstractNumId w:val="24"/>
  </w:num>
  <w:num w:numId="6">
    <w:abstractNumId w:val="10"/>
  </w:num>
  <w:num w:numId="7">
    <w:abstractNumId w:val="31"/>
  </w:num>
  <w:num w:numId="8">
    <w:abstractNumId w:val="39"/>
  </w:num>
  <w:num w:numId="9">
    <w:abstractNumId w:val="15"/>
  </w:num>
  <w:num w:numId="10">
    <w:abstractNumId w:val="14"/>
  </w:num>
  <w:num w:numId="11">
    <w:abstractNumId w:val="33"/>
  </w:num>
  <w:num w:numId="12">
    <w:abstractNumId w:val="38"/>
  </w:num>
  <w:num w:numId="13">
    <w:abstractNumId w:val="41"/>
  </w:num>
  <w:num w:numId="14">
    <w:abstractNumId w:val="30"/>
  </w:num>
  <w:num w:numId="15">
    <w:abstractNumId w:val="7"/>
  </w:num>
  <w:num w:numId="16">
    <w:abstractNumId w:val="27"/>
  </w:num>
  <w:num w:numId="17">
    <w:abstractNumId w:val="34"/>
  </w:num>
  <w:num w:numId="18">
    <w:abstractNumId w:val="8"/>
  </w:num>
  <w:num w:numId="19">
    <w:abstractNumId w:val="16"/>
  </w:num>
  <w:num w:numId="20">
    <w:abstractNumId w:val="2"/>
  </w:num>
  <w:num w:numId="21">
    <w:abstractNumId w:val="6"/>
  </w:num>
  <w:num w:numId="22">
    <w:abstractNumId w:val="13"/>
  </w:num>
  <w:num w:numId="23">
    <w:abstractNumId w:val="4"/>
  </w:num>
  <w:num w:numId="24">
    <w:abstractNumId w:val="28"/>
  </w:num>
  <w:num w:numId="25">
    <w:abstractNumId w:val="23"/>
  </w:num>
  <w:num w:numId="26">
    <w:abstractNumId w:val="25"/>
  </w:num>
  <w:num w:numId="27">
    <w:abstractNumId w:val="17"/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</w:num>
  <w:num w:numId="30">
    <w:abstractNumId w:val="5"/>
  </w:num>
  <w:num w:numId="31">
    <w:abstractNumId w:val="9"/>
  </w:num>
  <w:num w:numId="32">
    <w:abstractNumId w:val="11"/>
  </w:num>
  <w:num w:numId="33">
    <w:abstractNumId w:val="22"/>
  </w:num>
  <w:num w:numId="34">
    <w:abstractNumId w:val="21"/>
  </w:num>
  <w:num w:numId="35">
    <w:abstractNumId w:val="37"/>
  </w:num>
  <w:num w:numId="36">
    <w:abstractNumId w:val="0"/>
  </w:num>
  <w:num w:numId="37">
    <w:abstractNumId w:val="1"/>
  </w:num>
  <w:num w:numId="38">
    <w:abstractNumId w:val="19"/>
  </w:num>
  <w:num w:numId="39">
    <w:abstractNumId w:val="18"/>
  </w:num>
  <w:num w:numId="40">
    <w:abstractNumId w:val="29"/>
  </w:num>
  <w:num w:numId="41">
    <w:abstractNumId w:val="12"/>
  </w:num>
  <w:num w:numId="42">
    <w:abstractNumId w:val="26"/>
  </w:num>
  <w:num w:numId="43">
    <w:abstractNumId w:val="3"/>
  </w:num>
  <w:num w:numId="44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C4EBA"/>
    <w:rsid w:val="000D455F"/>
    <w:rsid w:val="000D73FA"/>
    <w:rsid w:val="000F1F75"/>
    <w:rsid w:val="00106335"/>
    <w:rsid w:val="001215C0"/>
    <w:rsid w:val="00122078"/>
    <w:rsid w:val="00123582"/>
    <w:rsid w:val="00123CBC"/>
    <w:rsid w:val="00127296"/>
    <w:rsid w:val="0013139C"/>
    <w:rsid w:val="0014476F"/>
    <w:rsid w:val="001448AE"/>
    <w:rsid w:val="00147F21"/>
    <w:rsid w:val="00152742"/>
    <w:rsid w:val="00154B70"/>
    <w:rsid w:val="00166BEC"/>
    <w:rsid w:val="0017517F"/>
    <w:rsid w:val="001834CD"/>
    <w:rsid w:val="00191098"/>
    <w:rsid w:val="001938E8"/>
    <w:rsid w:val="001B216F"/>
    <w:rsid w:val="001C4464"/>
    <w:rsid w:val="00200382"/>
    <w:rsid w:val="00202A2F"/>
    <w:rsid w:val="0020668A"/>
    <w:rsid w:val="00207BFC"/>
    <w:rsid w:val="00210265"/>
    <w:rsid w:val="00210538"/>
    <w:rsid w:val="0021451E"/>
    <w:rsid w:val="00216F48"/>
    <w:rsid w:val="00217722"/>
    <w:rsid w:val="0022231F"/>
    <w:rsid w:val="00223547"/>
    <w:rsid w:val="00240699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18C7"/>
    <w:rsid w:val="00333010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C408A"/>
    <w:rsid w:val="003D01BE"/>
    <w:rsid w:val="003D1F66"/>
    <w:rsid w:val="003E2441"/>
    <w:rsid w:val="003F0192"/>
    <w:rsid w:val="003F08C4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373A2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C124D"/>
    <w:rsid w:val="005C51B7"/>
    <w:rsid w:val="005C5215"/>
    <w:rsid w:val="005D06F9"/>
    <w:rsid w:val="005D7743"/>
    <w:rsid w:val="005E4BE6"/>
    <w:rsid w:val="005E6199"/>
    <w:rsid w:val="005F3BF3"/>
    <w:rsid w:val="005F407A"/>
    <w:rsid w:val="005F5F08"/>
    <w:rsid w:val="0060079C"/>
    <w:rsid w:val="00600E29"/>
    <w:rsid w:val="0061234E"/>
    <w:rsid w:val="00612C03"/>
    <w:rsid w:val="00617323"/>
    <w:rsid w:val="0062235F"/>
    <w:rsid w:val="00626826"/>
    <w:rsid w:val="00633FAA"/>
    <w:rsid w:val="00642DBE"/>
    <w:rsid w:val="00643034"/>
    <w:rsid w:val="00651E3F"/>
    <w:rsid w:val="00660FF7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A7587"/>
    <w:rsid w:val="006B6E2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41E"/>
    <w:rsid w:val="00786F3B"/>
    <w:rsid w:val="007902E2"/>
    <w:rsid w:val="00791798"/>
    <w:rsid w:val="00791A53"/>
    <w:rsid w:val="00791D23"/>
    <w:rsid w:val="00792498"/>
    <w:rsid w:val="0079287A"/>
    <w:rsid w:val="007961A7"/>
    <w:rsid w:val="007A0F67"/>
    <w:rsid w:val="007A202A"/>
    <w:rsid w:val="007A6061"/>
    <w:rsid w:val="007B5B8D"/>
    <w:rsid w:val="007C1E44"/>
    <w:rsid w:val="007D6B57"/>
    <w:rsid w:val="007E3A62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0C1C"/>
    <w:rsid w:val="00831E1D"/>
    <w:rsid w:val="008400E5"/>
    <w:rsid w:val="00841300"/>
    <w:rsid w:val="0084577B"/>
    <w:rsid w:val="00847CF6"/>
    <w:rsid w:val="008557BB"/>
    <w:rsid w:val="00856214"/>
    <w:rsid w:val="00860D07"/>
    <w:rsid w:val="00861A97"/>
    <w:rsid w:val="0086207E"/>
    <w:rsid w:val="00862846"/>
    <w:rsid w:val="0086330A"/>
    <w:rsid w:val="00864CE5"/>
    <w:rsid w:val="00871279"/>
    <w:rsid w:val="00871A81"/>
    <w:rsid w:val="00873332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0D46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34AD1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1F0B"/>
    <w:rsid w:val="00982FF5"/>
    <w:rsid w:val="00983E62"/>
    <w:rsid w:val="009900F5"/>
    <w:rsid w:val="00993EB1"/>
    <w:rsid w:val="00994762"/>
    <w:rsid w:val="009A308A"/>
    <w:rsid w:val="009A3B08"/>
    <w:rsid w:val="009B05D8"/>
    <w:rsid w:val="009B3FE3"/>
    <w:rsid w:val="009C4D6D"/>
    <w:rsid w:val="009D0440"/>
    <w:rsid w:val="009D354E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35688"/>
    <w:rsid w:val="00A472E0"/>
    <w:rsid w:val="00A474C0"/>
    <w:rsid w:val="00A47F29"/>
    <w:rsid w:val="00A60EA8"/>
    <w:rsid w:val="00A662FF"/>
    <w:rsid w:val="00A66479"/>
    <w:rsid w:val="00A66645"/>
    <w:rsid w:val="00A80B5C"/>
    <w:rsid w:val="00A81423"/>
    <w:rsid w:val="00A836A5"/>
    <w:rsid w:val="00A83E92"/>
    <w:rsid w:val="00A92C6F"/>
    <w:rsid w:val="00AA1BD6"/>
    <w:rsid w:val="00AA56D7"/>
    <w:rsid w:val="00AA64F7"/>
    <w:rsid w:val="00AA7004"/>
    <w:rsid w:val="00AB27F3"/>
    <w:rsid w:val="00AB289C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05F0E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678A2"/>
    <w:rsid w:val="00B73BC6"/>
    <w:rsid w:val="00B74814"/>
    <w:rsid w:val="00B75F7A"/>
    <w:rsid w:val="00B75FF7"/>
    <w:rsid w:val="00B82DC1"/>
    <w:rsid w:val="00B86EEA"/>
    <w:rsid w:val="00B86F62"/>
    <w:rsid w:val="00B937CB"/>
    <w:rsid w:val="00B938A8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32FA"/>
    <w:rsid w:val="00BF7D0D"/>
    <w:rsid w:val="00C02288"/>
    <w:rsid w:val="00C02723"/>
    <w:rsid w:val="00C0281F"/>
    <w:rsid w:val="00C03C41"/>
    <w:rsid w:val="00C04A07"/>
    <w:rsid w:val="00C04E33"/>
    <w:rsid w:val="00C04FA2"/>
    <w:rsid w:val="00C10FBC"/>
    <w:rsid w:val="00C20D2F"/>
    <w:rsid w:val="00C23472"/>
    <w:rsid w:val="00C34B49"/>
    <w:rsid w:val="00C504CE"/>
    <w:rsid w:val="00C5102D"/>
    <w:rsid w:val="00C625C1"/>
    <w:rsid w:val="00C70C25"/>
    <w:rsid w:val="00C75810"/>
    <w:rsid w:val="00C83FBF"/>
    <w:rsid w:val="00C92554"/>
    <w:rsid w:val="00C94EBA"/>
    <w:rsid w:val="00C963DC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43F0A"/>
    <w:rsid w:val="00D549EB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6480"/>
    <w:rsid w:val="00E87173"/>
    <w:rsid w:val="00E90F42"/>
    <w:rsid w:val="00E940C4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C7D52"/>
    <w:rsid w:val="00FD32A0"/>
    <w:rsid w:val="00FE110A"/>
    <w:rsid w:val="00FF0329"/>
    <w:rsid w:val="00FF2C5B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nr-live.ru/pensii-v-dnr-itogi-2018-i-planyi-minsotspolitiki-na-2019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E5932CA-C056-4FE6-8A1A-6500600D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27</Pages>
  <Words>5649</Words>
  <Characters>32202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83</cp:revision>
  <cp:lastPrinted>2019-06-10T17:58:00Z</cp:lastPrinted>
  <dcterms:created xsi:type="dcterms:W3CDTF">2019-06-07T01:10:00Z</dcterms:created>
  <dcterms:modified xsi:type="dcterms:W3CDTF">2020-07-05T08:01:00Z</dcterms:modified>
</cp:coreProperties>
</file>