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F2" w:rsidRDefault="00DB4AF2" w:rsidP="00614317">
      <w:pPr>
        <w:pStyle w:val="a4"/>
      </w:pPr>
      <w:r w:rsidRPr="00614317">
        <w:t>На</w:t>
      </w:r>
      <w:r>
        <w:t xml:space="preserve"> </w:t>
      </w:r>
      <w:r w:rsidRPr="00614317">
        <w:t>основании</w:t>
      </w:r>
      <w:r>
        <w:t xml:space="preserve"> </w:t>
      </w:r>
      <w:r w:rsidRPr="00614317">
        <w:t>исходных</w:t>
      </w:r>
      <w:r>
        <w:t xml:space="preserve"> </w:t>
      </w:r>
      <w:r w:rsidRPr="00614317">
        <w:t>данных</w:t>
      </w:r>
      <w:r>
        <w:t xml:space="preserve"> </w:t>
      </w:r>
      <w:r w:rsidRPr="00614317">
        <w:t>рассчитать операционный,</w:t>
      </w:r>
      <w:r>
        <w:t xml:space="preserve"> </w:t>
      </w:r>
      <w:r w:rsidRPr="00614317">
        <w:t>финансовый</w:t>
      </w:r>
      <w:r>
        <w:t xml:space="preserve"> </w:t>
      </w:r>
      <w:r w:rsidRPr="00614317">
        <w:t>и</w:t>
      </w:r>
      <w:r>
        <w:t xml:space="preserve"> </w:t>
      </w:r>
      <w:r w:rsidRPr="00614317">
        <w:t>общий</w:t>
      </w:r>
      <w:r>
        <w:t xml:space="preserve"> </w:t>
      </w:r>
      <w:r w:rsidRPr="00614317">
        <w:t>леверидж.</w:t>
      </w:r>
      <w:r>
        <w:t xml:space="preserve"> </w:t>
      </w:r>
    </w:p>
    <w:p w:rsidR="00DB4AF2" w:rsidRDefault="00DB4AF2" w:rsidP="00B357FD">
      <w:pPr>
        <w:pStyle w:val="a1"/>
        <w:ind w:left="284"/>
        <w:jc w:val="left"/>
      </w:pPr>
      <w:r>
        <w:t>Исходные данные</w:t>
      </w:r>
    </w:p>
    <w:tbl>
      <w:tblPr>
        <w:tblW w:w="8878" w:type="dxa"/>
        <w:jc w:val="center"/>
        <w:tblInd w:w="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015"/>
        <w:gridCol w:w="2431"/>
        <w:gridCol w:w="2432"/>
      </w:tblGrid>
      <w:tr w:rsidR="00DB4AF2" w:rsidTr="00B357FD">
        <w:trPr>
          <w:trHeight w:val="360"/>
          <w:jc w:val="center"/>
        </w:trPr>
        <w:tc>
          <w:tcPr>
            <w:tcW w:w="4015" w:type="dxa"/>
            <w:tcBorders>
              <w:top w:val="single" w:sz="12" w:space="0" w:color="auto"/>
            </w:tcBorders>
            <w:noWrap/>
            <w:vAlign w:val="center"/>
          </w:tcPr>
          <w:p w:rsidR="00DB4AF2" w:rsidRPr="00614317" w:rsidRDefault="00DB4AF2" w:rsidP="00B357F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Показатель</w:t>
            </w:r>
          </w:p>
        </w:tc>
        <w:tc>
          <w:tcPr>
            <w:tcW w:w="2431" w:type="dxa"/>
            <w:tcBorders>
              <w:top w:val="single" w:sz="12" w:space="0" w:color="auto"/>
            </w:tcBorders>
            <w:vAlign w:val="center"/>
          </w:tcPr>
          <w:p w:rsidR="00DB4AF2" w:rsidRPr="00614317" w:rsidRDefault="00DB4AF2" w:rsidP="00B357F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корп.1</w:t>
            </w:r>
          </w:p>
        </w:tc>
        <w:tc>
          <w:tcPr>
            <w:tcW w:w="2432" w:type="dxa"/>
            <w:tcBorders>
              <w:top w:val="single" w:sz="12" w:space="0" w:color="auto"/>
            </w:tcBorders>
            <w:noWrap/>
            <w:vAlign w:val="center"/>
          </w:tcPr>
          <w:p w:rsidR="00DB4AF2" w:rsidRPr="00614317" w:rsidRDefault="00DB4AF2" w:rsidP="00B357F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корп. 2</w:t>
            </w:r>
          </w:p>
        </w:tc>
      </w:tr>
      <w:tr w:rsidR="00DB4AF2" w:rsidTr="00B357FD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DB4AF2" w:rsidRPr="00614317" w:rsidRDefault="00DB4AF2" w:rsidP="003C7696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 xml:space="preserve">Цена изделия </w:t>
            </w:r>
          </w:p>
        </w:tc>
        <w:tc>
          <w:tcPr>
            <w:tcW w:w="2431" w:type="dxa"/>
            <w:vAlign w:val="center"/>
          </w:tcPr>
          <w:p w:rsidR="00DB4AF2" w:rsidRPr="00614317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14,50</w:t>
            </w:r>
          </w:p>
        </w:tc>
        <w:tc>
          <w:tcPr>
            <w:tcW w:w="2432" w:type="dxa"/>
            <w:noWrap/>
            <w:vAlign w:val="center"/>
          </w:tcPr>
          <w:p w:rsidR="00DB4AF2" w:rsidRDefault="00DB4AF2" w:rsidP="003C769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14,50</w:t>
            </w:r>
          </w:p>
        </w:tc>
      </w:tr>
      <w:tr w:rsidR="00DB4AF2" w:rsidTr="00B357FD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DB4AF2" w:rsidRPr="00614317" w:rsidRDefault="00DB4AF2" w:rsidP="003C7696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Переменные затраты</w:t>
            </w:r>
          </w:p>
        </w:tc>
        <w:tc>
          <w:tcPr>
            <w:tcW w:w="2431" w:type="dxa"/>
            <w:vAlign w:val="center"/>
          </w:tcPr>
          <w:p w:rsidR="00DB4AF2" w:rsidRPr="00614317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7,30</w:t>
            </w:r>
          </w:p>
        </w:tc>
        <w:tc>
          <w:tcPr>
            <w:tcW w:w="2432" w:type="dxa"/>
            <w:noWrap/>
            <w:vAlign w:val="center"/>
          </w:tcPr>
          <w:p w:rsidR="00DB4AF2" w:rsidRDefault="00DB4AF2" w:rsidP="003C769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9,70</w:t>
            </w:r>
          </w:p>
        </w:tc>
      </w:tr>
      <w:tr w:rsidR="00DB4AF2" w:rsidTr="00B357FD">
        <w:trPr>
          <w:trHeight w:val="360"/>
          <w:jc w:val="center"/>
        </w:trPr>
        <w:tc>
          <w:tcPr>
            <w:tcW w:w="4015" w:type="dxa"/>
            <w:noWrap/>
            <w:vAlign w:val="center"/>
          </w:tcPr>
          <w:p w:rsidR="00DB4AF2" w:rsidRPr="00614317" w:rsidRDefault="00DB4AF2" w:rsidP="003C7696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Постоянные затраты</w:t>
            </w:r>
          </w:p>
        </w:tc>
        <w:tc>
          <w:tcPr>
            <w:tcW w:w="2431" w:type="dxa"/>
            <w:vAlign w:val="center"/>
          </w:tcPr>
          <w:p w:rsidR="00DB4AF2" w:rsidRPr="00614317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21 780,00</w:t>
            </w:r>
          </w:p>
        </w:tc>
        <w:tc>
          <w:tcPr>
            <w:tcW w:w="2432" w:type="dxa"/>
            <w:noWrap/>
            <w:vAlign w:val="center"/>
          </w:tcPr>
          <w:p w:rsidR="00DB4AF2" w:rsidRDefault="00DB4AF2" w:rsidP="003C769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</w:tr>
      <w:tr w:rsidR="00DB4AF2" w:rsidTr="00B357FD">
        <w:trPr>
          <w:trHeight w:val="360"/>
          <w:jc w:val="center"/>
        </w:trPr>
        <w:tc>
          <w:tcPr>
            <w:tcW w:w="4015" w:type="dxa"/>
            <w:tcBorders>
              <w:bottom w:val="single" w:sz="12" w:space="0" w:color="auto"/>
            </w:tcBorders>
            <w:noWrap/>
            <w:vAlign w:val="center"/>
          </w:tcPr>
          <w:p w:rsidR="00DB4AF2" w:rsidRPr="00614317" w:rsidRDefault="00DB4AF2" w:rsidP="003C7696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Проценты, выпл. По долгу</w:t>
            </w:r>
          </w:p>
        </w:tc>
        <w:tc>
          <w:tcPr>
            <w:tcW w:w="2431" w:type="dxa"/>
            <w:tcBorders>
              <w:bottom w:val="single" w:sz="12" w:space="0" w:color="auto"/>
            </w:tcBorders>
            <w:vAlign w:val="center"/>
          </w:tcPr>
          <w:p w:rsidR="00DB4AF2" w:rsidRPr="00614317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14317">
              <w:rPr>
                <w:rFonts w:ascii="Arial" w:hAnsi="Arial" w:cs="Arial"/>
                <w:sz w:val="28"/>
                <w:szCs w:val="28"/>
              </w:rPr>
              <w:t>7 260,00</w:t>
            </w:r>
          </w:p>
        </w:tc>
        <w:tc>
          <w:tcPr>
            <w:tcW w:w="2432" w:type="dxa"/>
            <w:tcBorders>
              <w:bottom w:val="single" w:sz="12" w:space="0" w:color="auto"/>
            </w:tcBorders>
            <w:noWrap/>
            <w:vAlign w:val="center"/>
          </w:tcPr>
          <w:p w:rsidR="00DB4AF2" w:rsidRDefault="00DB4AF2" w:rsidP="003C7696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3 025,00</w:t>
            </w:r>
          </w:p>
        </w:tc>
      </w:tr>
    </w:tbl>
    <w:p w:rsidR="00DB4AF2" w:rsidRDefault="00DB4AF2" w:rsidP="00ED3111">
      <w:pPr>
        <w:pStyle w:val="a4"/>
      </w:pPr>
    </w:p>
    <w:p w:rsidR="00DB4AF2" w:rsidRDefault="00DB4AF2" w:rsidP="0024691F">
      <w:pPr>
        <w:pStyle w:val="a4"/>
      </w:pPr>
      <w:r>
        <w:t xml:space="preserve">Составим калькуляцию продажи и прибыли корпорации 1 </w:t>
      </w:r>
    </w:p>
    <w:p w:rsidR="00DB4AF2" w:rsidRDefault="00DB4AF2" w:rsidP="0024691F">
      <w:pPr>
        <w:pStyle w:val="a4"/>
      </w:pPr>
    </w:p>
    <w:p w:rsidR="00DB4AF2" w:rsidRDefault="00DB4AF2" w:rsidP="006D546D">
      <w:pPr>
        <w:pStyle w:val="a1"/>
      </w:pPr>
      <w:r>
        <w:t>Калькуляция продаж и прибыли корпорации 1</w:t>
      </w:r>
    </w:p>
    <w:tbl>
      <w:tblPr>
        <w:tblW w:w="0" w:type="auto"/>
        <w:tblInd w:w="89" w:type="dxa"/>
        <w:tblLook w:val="0000"/>
      </w:tblPr>
      <w:tblGrid>
        <w:gridCol w:w="1409"/>
        <w:gridCol w:w="1948"/>
        <w:gridCol w:w="1864"/>
        <w:gridCol w:w="1481"/>
        <w:gridCol w:w="1324"/>
        <w:gridCol w:w="1739"/>
      </w:tblGrid>
      <w:tr w:rsidR="00DB4AF2" w:rsidTr="00B6001F">
        <w:trPr>
          <w:trHeight w:val="11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Продано изделий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Переменные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Постоянные затраты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Затрат всего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Выручка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AF2" w:rsidRPr="006D546D" w:rsidRDefault="00DB4AF2" w:rsidP="00B6001F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Операц. Прибыль (убыток)</w:t>
            </w:r>
          </w:p>
        </w:tc>
      </w:tr>
      <w:tr w:rsidR="00DB4AF2" w:rsidTr="00B6001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7300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21 780,00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29 080,00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B4AF2" w:rsidRPr="006D546D" w:rsidRDefault="00DB4AF2" w:rsidP="00B6001F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14 580,00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Tr="00B6001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21 780,00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36 380,00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B4AF2" w:rsidRPr="006D546D" w:rsidRDefault="00DB4AF2" w:rsidP="00B6001F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7 380,00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Tr="00B6001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21900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21 780,00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43 680,00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B4AF2" w:rsidRPr="006D546D" w:rsidRDefault="00DB4AF2" w:rsidP="00B6001F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180,00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Tr="00B6001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21 780,00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50 980,00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B4AF2" w:rsidRPr="006D546D" w:rsidRDefault="00DB4AF2" w:rsidP="00B6001F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7 020,00</w:t>
            </w:r>
          </w:p>
        </w:tc>
      </w:tr>
      <w:tr w:rsidR="00DB4AF2" w:rsidTr="00B6001F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36500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21 780,00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58 280,00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72500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B4AF2" w:rsidRPr="006D546D" w:rsidRDefault="00DB4AF2" w:rsidP="00B6001F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14 220,00</w:t>
            </w:r>
          </w:p>
        </w:tc>
      </w:tr>
    </w:tbl>
    <w:p w:rsidR="00DB4AF2" w:rsidRDefault="00DB4AF2" w:rsidP="0024691F">
      <w:pPr>
        <w:pStyle w:val="a4"/>
      </w:pPr>
    </w:p>
    <w:p w:rsidR="00DB4AF2" w:rsidRDefault="00DB4AF2" w:rsidP="00074B53">
      <w:pPr>
        <w:pStyle w:val="a4"/>
      </w:pPr>
      <w:r>
        <w:t>На основании данных таблицы, используя формулу, определяем</w:t>
      </w:r>
    </w:p>
    <w:p w:rsidR="00DB4AF2" w:rsidRDefault="00DB4AF2" w:rsidP="00074B53">
      <w:pPr>
        <w:pStyle w:val="a4"/>
      </w:pPr>
      <w:r>
        <w:t>коэффициент операционного левериджа.</w:t>
      </w:r>
    </w:p>
    <w:p w:rsidR="00DB4AF2" w:rsidRPr="00687E57" w:rsidRDefault="00DB4AF2" w:rsidP="00074B53">
      <w:pPr>
        <w:pStyle w:val="a4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Формула</w:t>
      </w:r>
    </w:p>
    <w:p w:rsidR="00DB4AF2" w:rsidRDefault="00DB4AF2" w:rsidP="00074B53">
      <w:pPr>
        <w:pStyle w:val="a4"/>
      </w:pPr>
      <w:r>
        <w:t>Коэф. Оп. Лев 1=2,53</w:t>
      </w:r>
    </w:p>
    <w:p w:rsidR="00DB4AF2" w:rsidRDefault="00DB4AF2" w:rsidP="00721601">
      <w:pPr>
        <w:pStyle w:val="a4"/>
      </w:pPr>
      <w:r>
        <w:t xml:space="preserve">Коэффициент операционного левериджа у корпорации 1 ниже, чем у </w:t>
      </w:r>
    </w:p>
    <w:p w:rsidR="00DB4AF2" w:rsidRDefault="00DB4AF2" w:rsidP="00721601">
      <w:pPr>
        <w:pStyle w:val="a4"/>
      </w:pPr>
      <w:r>
        <w:t>корпорации 2, что объясняется низким отношением доли постоянных затрат в общих затратах. Риск угрозы убытков меньше, но возможности роста прибыли более ограничены.</w:t>
      </w:r>
    </w:p>
    <w:p w:rsidR="00DB4AF2" w:rsidRDefault="00DB4AF2" w:rsidP="0024691F">
      <w:pPr>
        <w:pStyle w:val="a4"/>
      </w:pPr>
    </w:p>
    <w:p w:rsidR="00DB4AF2" w:rsidRDefault="00DB4AF2" w:rsidP="0024691F">
      <w:pPr>
        <w:pStyle w:val="a4"/>
      </w:pPr>
    </w:p>
    <w:p w:rsidR="00DB4AF2" w:rsidRDefault="00DB4AF2" w:rsidP="0024691F">
      <w:pPr>
        <w:pStyle w:val="a4"/>
      </w:pPr>
    </w:p>
    <w:p w:rsidR="00DB4AF2" w:rsidRDefault="00DB4AF2" w:rsidP="00074B53">
      <w:pPr>
        <w:pStyle w:val="a4"/>
      </w:pPr>
      <w:r>
        <w:t xml:space="preserve">Составим калькуляцию продажи и прибыли корпорации 2. </w:t>
      </w:r>
    </w:p>
    <w:p w:rsidR="00DB4AF2" w:rsidRDefault="00DB4AF2" w:rsidP="0024691F">
      <w:pPr>
        <w:pStyle w:val="a4"/>
      </w:pPr>
    </w:p>
    <w:p w:rsidR="00DB4AF2" w:rsidRDefault="00DB4AF2" w:rsidP="006D546D">
      <w:pPr>
        <w:pStyle w:val="a1"/>
      </w:pPr>
      <w:r>
        <w:t>Калькуляция продаж и прибыли корпорации 2</w:t>
      </w:r>
    </w:p>
    <w:tbl>
      <w:tblPr>
        <w:tblW w:w="10237" w:type="dxa"/>
        <w:jc w:val="center"/>
        <w:tblInd w:w="89" w:type="dxa"/>
        <w:tblLayout w:type="fixed"/>
        <w:tblLook w:val="0000"/>
      </w:tblPr>
      <w:tblGrid>
        <w:gridCol w:w="1437"/>
        <w:gridCol w:w="1984"/>
        <w:gridCol w:w="1843"/>
        <w:gridCol w:w="1537"/>
        <w:gridCol w:w="1345"/>
        <w:gridCol w:w="2091"/>
      </w:tblGrid>
      <w:tr w:rsidR="00DB4AF2" w:rsidTr="00074B53">
        <w:trPr>
          <w:trHeight w:val="1080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Продано изделий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Переменные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Постоянные затраты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Затрат всего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Выручка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Операц. Прибыль (убыток)</w:t>
            </w:r>
          </w:p>
        </w:tc>
      </w:tr>
      <w:tr w:rsidR="00DB4AF2" w:rsidTr="00074B53">
        <w:trPr>
          <w:trHeight w:val="452"/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D546D" w:rsidRDefault="00DB4AF2" w:rsidP="006D546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DB4AF2" w:rsidTr="00074B53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9700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33 900,00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14500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19 400,00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Tr="00074B53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19400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43 600,00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29000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14 600,00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Tr="00074B53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29100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53 300,00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43500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9 800,00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Tr="00074B53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38800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63 000,00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58000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6D546D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5 000,00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RPr="006D546D" w:rsidTr="00074B53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48500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72 700,00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72500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Pr="006D546D">
              <w:rPr>
                <w:rFonts w:ascii="Arial" w:hAnsi="Arial" w:cs="Arial"/>
                <w:sz w:val="28"/>
                <w:szCs w:val="28"/>
              </w:rPr>
              <w:t>200,00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B4AF2" w:rsidRPr="006D546D" w:rsidTr="00074B53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6000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58200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82 400,00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87000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4 600,00</w:t>
            </w:r>
          </w:p>
        </w:tc>
      </w:tr>
      <w:tr w:rsidR="00DB4AF2" w:rsidRPr="006D546D" w:rsidTr="00074B53">
        <w:trPr>
          <w:trHeight w:val="360"/>
          <w:jc w:val="center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7000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67900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24 200,00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92 100,00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101500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D546D" w:rsidRDefault="00DB4AF2" w:rsidP="003C7696">
            <w:pPr>
              <w:ind w:firstLine="0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D546D">
              <w:rPr>
                <w:rFonts w:ascii="Arial" w:hAnsi="Arial" w:cs="Arial"/>
                <w:sz w:val="28"/>
                <w:szCs w:val="28"/>
              </w:rPr>
              <w:t>9 400,00</w:t>
            </w:r>
          </w:p>
        </w:tc>
      </w:tr>
    </w:tbl>
    <w:p w:rsidR="00DB4AF2" w:rsidRDefault="00DB4AF2" w:rsidP="00975D2E">
      <w:pPr>
        <w:pStyle w:val="a4"/>
      </w:pPr>
    </w:p>
    <w:p w:rsidR="00DB4AF2" w:rsidRDefault="00DB4AF2" w:rsidP="00074B53">
      <w:pPr>
        <w:pStyle w:val="a4"/>
      </w:pPr>
      <w:r>
        <w:t>На основании данных таблицы 1.3 определяем коэффициент операционного левериджа:</w:t>
      </w:r>
    </w:p>
    <w:p w:rsidR="00DB4AF2" w:rsidRDefault="00DB4AF2" w:rsidP="00074B53">
      <w:pPr>
        <w:pStyle w:val="a4"/>
      </w:pPr>
    </w:p>
    <w:p w:rsidR="00DB4AF2" w:rsidRDefault="00DB4AF2" w:rsidP="00975D2E">
      <w:pPr>
        <w:pStyle w:val="a4"/>
      </w:pPr>
      <w:r>
        <w:t>Коэф. Оп. Лев 2=3,57</w:t>
      </w:r>
    </w:p>
    <w:p w:rsidR="00DB4AF2" w:rsidRDefault="00DB4AF2" w:rsidP="00975D2E">
      <w:pPr>
        <w:pStyle w:val="a4"/>
      </w:pPr>
    </w:p>
    <w:p w:rsidR="00DB4AF2" w:rsidRPr="00687E57" w:rsidRDefault="00DB4AF2" w:rsidP="00975D2E">
      <w:pPr>
        <w:pStyle w:val="a4"/>
      </w:pPr>
      <w:r w:rsidRPr="00975D2E">
        <w:t>Коэффициент высокий, следовательно, в перспективе корпорация имеет высокую степень риска получения убытков, если объем продаж снизится. Но в случае роста объема продаж прибыль будет повышаться высокими темпами.</w:t>
      </w:r>
    </w:p>
    <w:p w:rsidR="00DB4AF2" w:rsidRDefault="00DB4AF2" w:rsidP="00687E57">
      <w:pPr>
        <w:pStyle w:val="a4"/>
      </w:pPr>
      <w:r w:rsidRPr="00B664A5">
        <w:t>Используя алгебраическую формулу, получаем:</w:t>
      </w:r>
    </w:p>
    <w:p w:rsidR="00DB4AF2" w:rsidRDefault="00DB4AF2" w:rsidP="00687E57">
      <w:pPr>
        <w:pStyle w:val="a4"/>
      </w:pPr>
      <w:r>
        <w:t>Получаем тот же результат.</w:t>
      </w:r>
    </w:p>
    <w:p w:rsidR="00DB4AF2" w:rsidRPr="00B664A5" w:rsidRDefault="00DB4AF2" w:rsidP="00687E57">
      <w:pPr>
        <w:pStyle w:val="a4"/>
        <w:rPr>
          <w:color w:val="FF0000"/>
        </w:rPr>
      </w:pPr>
      <w:r>
        <w:rPr>
          <w:color w:val="FF0000"/>
        </w:rPr>
        <w:t>Результат расчетов</w:t>
      </w:r>
    </w:p>
    <w:p w:rsidR="00DB4AF2" w:rsidRDefault="00DB4AF2" w:rsidP="00B664A5">
      <w:pPr>
        <w:pStyle w:val="a4"/>
        <w:rPr>
          <w:b/>
        </w:rPr>
      </w:pPr>
    </w:p>
    <w:p w:rsidR="00DB4AF2" w:rsidRDefault="00DB4AF2" w:rsidP="00B664A5">
      <w:pPr>
        <w:pStyle w:val="a4"/>
        <w:rPr>
          <w:b/>
        </w:rPr>
      </w:pPr>
    </w:p>
    <w:p w:rsidR="00DB4AF2" w:rsidRDefault="00DB4AF2" w:rsidP="00B664A5">
      <w:pPr>
        <w:pStyle w:val="a4"/>
        <w:rPr>
          <w:b/>
        </w:rPr>
      </w:pPr>
    </w:p>
    <w:p w:rsidR="00DB4AF2" w:rsidRDefault="00DB4AF2" w:rsidP="00B664A5">
      <w:pPr>
        <w:pStyle w:val="a4"/>
        <w:rPr>
          <w:b/>
        </w:rPr>
      </w:pPr>
    </w:p>
    <w:p w:rsidR="00DB4AF2" w:rsidRDefault="00DB4AF2" w:rsidP="00B664A5">
      <w:pPr>
        <w:pStyle w:val="a4"/>
        <w:rPr>
          <w:b/>
        </w:rPr>
      </w:pPr>
    </w:p>
    <w:p w:rsidR="00DB4AF2" w:rsidRPr="00512CD0" w:rsidRDefault="00DB4AF2" w:rsidP="00B664A5">
      <w:pPr>
        <w:pStyle w:val="a4"/>
        <w:rPr>
          <w:b/>
        </w:rPr>
      </w:pPr>
      <w:r w:rsidRPr="00512CD0">
        <w:rPr>
          <w:b/>
        </w:rPr>
        <w:t>Измерение степени воздействия финансового левериджа</w:t>
      </w:r>
    </w:p>
    <w:p w:rsidR="00DB4AF2" w:rsidRDefault="00DB4AF2" w:rsidP="00512CD0">
      <w:pPr>
        <w:pStyle w:val="a4"/>
      </w:pPr>
      <w:r>
        <w:t>Влияние финансового левериджа на прибыльность корпорации, в частности на величину чистой прибыли на одну акцию, может быть вычислено по следующим формулам:</w:t>
      </w:r>
    </w:p>
    <w:p w:rsidR="00DB4AF2" w:rsidRPr="00687E57" w:rsidRDefault="00DB4AF2" w:rsidP="0063419D">
      <w:pPr>
        <w:pStyle w:val="a4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Формула</w:t>
      </w:r>
    </w:p>
    <w:p w:rsidR="00DB4AF2" w:rsidRDefault="00DB4AF2" w:rsidP="0063419D">
      <w:pPr>
        <w:pStyle w:val="a4"/>
        <w:rPr>
          <w:color w:val="FF0000"/>
        </w:rPr>
      </w:pPr>
      <w:r>
        <w:t xml:space="preserve">Для сравнения двух показателей - финансового левериджа и </w:t>
      </w:r>
      <w:r w:rsidRPr="0063419D">
        <w:t xml:space="preserve">операционного левериджа - используем данные </w:t>
      </w:r>
      <w:r w:rsidRPr="0063419D">
        <w:rPr>
          <w:color w:val="FF0000"/>
          <w:sz w:val="40"/>
          <w:szCs w:val="40"/>
        </w:rPr>
        <w:t>таблицы 3.3</w:t>
      </w:r>
      <w:r w:rsidRPr="0063419D">
        <w:t>. На их основании</w:t>
      </w:r>
      <w:r>
        <w:t xml:space="preserve"> составим отчет о прибыли по корпорациям 1 и 2. Предположим, что в первой корпорации долг в структуре капитала выше, чем во второй. При прочих равных условиях проценты, выплаченные по долгу, </w:t>
      </w:r>
      <w:r w:rsidRPr="0063419D">
        <w:rPr>
          <w:color w:val="FF0000"/>
        </w:rPr>
        <w:t>будут 5000 долл, и 2000 долл, в соответствии</w:t>
      </w:r>
      <w:r>
        <w:rPr>
          <w:color w:val="FF0000"/>
        </w:rPr>
        <w:t>.</w:t>
      </w:r>
    </w:p>
    <w:p w:rsidR="00DB4AF2" w:rsidRDefault="00DB4AF2" w:rsidP="0063419D">
      <w:pPr>
        <w:pStyle w:val="a4"/>
        <w:rPr>
          <w:color w:val="auto"/>
        </w:rPr>
      </w:pPr>
      <w:r w:rsidRPr="0063419D">
        <w:rPr>
          <w:color w:val="auto"/>
        </w:rPr>
        <w:t>Для определения степени влияния финансового левериджа используются данные составленного нами отчета о прибыли.</w:t>
      </w:r>
    </w:p>
    <w:p w:rsidR="00DB4AF2" w:rsidRDefault="00DB4AF2" w:rsidP="0063419D">
      <w:pPr>
        <w:pStyle w:val="a4"/>
        <w:rPr>
          <w:color w:val="auto"/>
        </w:rPr>
      </w:pPr>
    </w:p>
    <w:p w:rsidR="00DB4AF2" w:rsidRDefault="00DB4AF2" w:rsidP="0063419D">
      <w:pPr>
        <w:pStyle w:val="a1"/>
        <w:ind w:left="567"/>
        <w:jc w:val="left"/>
      </w:pPr>
      <w:r w:rsidRPr="0063419D">
        <w:t>Отчет о прибыли корпорации, млн долл.</w:t>
      </w:r>
    </w:p>
    <w:tbl>
      <w:tblPr>
        <w:tblW w:w="0" w:type="auto"/>
        <w:jc w:val="center"/>
        <w:tblInd w:w="89" w:type="dxa"/>
        <w:tblLook w:val="0000"/>
      </w:tblPr>
      <w:tblGrid>
        <w:gridCol w:w="3058"/>
        <w:gridCol w:w="2732"/>
        <w:gridCol w:w="2732"/>
      </w:tblGrid>
      <w:tr w:rsidR="00DB4AF2" w:rsidTr="0063419D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3419D" w:rsidRDefault="00DB4AF2" w:rsidP="0063419D">
            <w:pPr>
              <w:ind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419D">
              <w:rPr>
                <w:rFonts w:ascii="Arial" w:hAnsi="Arial" w:cs="Arial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 w:rsidP="006341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Корпорация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 w:rsidP="0063419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Корпорация 2</w:t>
            </w:r>
          </w:p>
        </w:tc>
      </w:tr>
      <w:tr w:rsidR="00DB4AF2" w:rsidTr="0063419D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3419D" w:rsidRDefault="00DB4AF2" w:rsidP="0063419D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3419D">
              <w:rPr>
                <w:rFonts w:ascii="Arial" w:hAnsi="Arial" w:cs="Arial"/>
                <w:sz w:val="28"/>
                <w:szCs w:val="28"/>
              </w:rPr>
              <w:t>Продажа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72500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101500</w:t>
            </w:r>
          </w:p>
        </w:tc>
      </w:tr>
      <w:tr w:rsidR="00DB4AF2" w:rsidTr="0063419D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3419D" w:rsidRDefault="00DB4AF2" w:rsidP="0063419D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3419D">
              <w:rPr>
                <w:rFonts w:ascii="Arial" w:hAnsi="Arial" w:cs="Arial"/>
                <w:sz w:val="28"/>
                <w:szCs w:val="28"/>
              </w:rPr>
              <w:t>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58 280,00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92 100,00</w:t>
            </w:r>
          </w:p>
        </w:tc>
      </w:tr>
      <w:tr w:rsidR="00DB4AF2" w:rsidTr="0063419D">
        <w:trPr>
          <w:trHeight w:val="82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3419D" w:rsidRDefault="00DB4AF2" w:rsidP="0063419D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3419D">
              <w:rPr>
                <w:rFonts w:ascii="Arial" w:hAnsi="Arial" w:cs="Arial"/>
                <w:sz w:val="28"/>
                <w:szCs w:val="28"/>
              </w:rPr>
              <w:t>Прибыль до уплаты</w:t>
            </w:r>
            <w:r w:rsidRPr="0063419D">
              <w:rPr>
                <w:rFonts w:ascii="Arial" w:hAnsi="Arial" w:cs="Arial"/>
                <w:sz w:val="28"/>
                <w:szCs w:val="28"/>
              </w:rPr>
              <w:br/>
              <w:t>процентов и налогов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14 220,00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9 400,00</w:t>
            </w:r>
          </w:p>
        </w:tc>
      </w:tr>
      <w:tr w:rsidR="00DB4AF2" w:rsidTr="0063419D">
        <w:trPr>
          <w:trHeight w:val="3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B4AF2" w:rsidRPr="0063419D" w:rsidRDefault="00DB4AF2" w:rsidP="0063419D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3419D">
              <w:rPr>
                <w:rFonts w:ascii="Arial" w:hAnsi="Arial" w:cs="Arial"/>
                <w:sz w:val="28"/>
                <w:szCs w:val="28"/>
              </w:rPr>
              <w:t>Минус опл. Проценты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7 260,00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3 025,00</w:t>
            </w:r>
          </w:p>
        </w:tc>
      </w:tr>
      <w:tr w:rsidR="00DB4AF2" w:rsidTr="0063419D">
        <w:trPr>
          <w:trHeight w:val="10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Pr="0063419D" w:rsidRDefault="00DB4AF2" w:rsidP="0063419D">
            <w:pPr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63419D">
              <w:rPr>
                <w:rFonts w:ascii="Arial" w:hAnsi="Arial" w:cs="Arial"/>
                <w:sz w:val="28"/>
                <w:szCs w:val="28"/>
              </w:rPr>
              <w:t>Прибыль до уплаты</w:t>
            </w:r>
            <w:r w:rsidRPr="0063419D">
              <w:rPr>
                <w:rFonts w:ascii="Arial" w:hAnsi="Arial" w:cs="Arial"/>
                <w:sz w:val="28"/>
                <w:szCs w:val="28"/>
              </w:rPr>
              <w:br/>
              <w:t>налогов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6 960,00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AF2" w:rsidRDefault="00DB4AF2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6 375,00</w:t>
            </w:r>
          </w:p>
        </w:tc>
      </w:tr>
    </w:tbl>
    <w:p w:rsidR="00DB4AF2" w:rsidRDefault="00DB4AF2" w:rsidP="0063419D">
      <w:pPr>
        <w:pStyle w:val="a4"/>
      </w:pPr>
    </w:p>
    <w:p w:rsidR="00DB4AF2" w:rsidRDefault="00DB4AF2" w:rsidP="009032F2">
      <w:pPr>
        <w:pStyle w:val="a4"/>
      </w:pPr>
      <w:r>
        <w:t xml:space="preserve">По данным отчета о прибыли определим финансовый леверидж для </w:t>
      </w:r>
    </w:p>
    <w:p w:rsidR="00DB4AF2" w:rsidRDefault="00DB4AF2" w:rsidP="009032F2">
      <w:pPr>
        <w:pStyle w:val="a4"/>
      </w:pPr>
      <w:r>
        <w:t>корпорации!:</w:t>
      </w:r>
    </w:p>
    <w:p w:rsidR="00DB4AF2" w:rsidRPr="007D1E80" w:rsidRDefault="00DB4AF2" w:rsidP="002C5E77">
      <w:pPr>
        <w:pStyle w:val="a4"/>
        <w:jc w:val="center"/>
        <w:rPr>
          <w:color w:val="00FF00"/>
          <w:sz w:val="40"/>
          <w:szCs w:val="40"/>
        </w:rPr>
      </w:pPr>
      <w:r w:rsidRPr="007D1E80">
        <w:rPr>
          <w:color w:val="00FF00"/>
          <w:sz w:val="40"/>
          <w:szCs w:val="40"/>
        </w:rPr>
        <w:t>Расчеты</w:t>
      </w:r>
    </w:p>
    <w:p w:rsidR="00DB4AF2" w:rsidRDefault="00DB4AF2" w:rsidP="007D1E80">
      <w:pPr>
        <w:pStyle w:val="a4"/>
      </w:pPr>
      <w:r>
        <w:t>Это означает, что 1% роста прибыли до уплаты процентов и налогов может способствовать росту прибыли на одну акцию на</w:t>
      </w:r>
      <w:r w:rsidRPr="007D1E80">
        <w:rPr>
          <w:color w:val="FF0000"/>
          <w:sz w:val="40"/>
          <w:szCs w:val="40"/>
        </w:rPr>
        <w:t xml:space="preserve"> 1,7%</w:t>
      </w:r>
      <w:r>
        <w:t xml:space="preserve">.В структуре капитала корпорации 2 часть долга меньше, поэтому проценты по долгу в отчете </w:t>
      </w:r>
      <w:r w:rsidRPr="007D1E80">
        <w:rPr>
          <w:color w:val="FF0000"/>
          <w:sz w:val="40"/>
          <w:szCs w:val="40"/>
        </w:rPr>
        <w:t>составляют 2000 долл</w:t>
      </w:r>
      <w:r>
        <w:t>., Соответственно, снижается степень влияния левериджа:</w:t>
      </w:r>
    </w:p>
    <w:p w:rsidR="00DB4AF2" w:rsidRPr="007D1E80" w:rsidRDefault="00DB4AF2" w:rsidP="002C5E77">
      <w:pPr>
        <w:pStyle w:val="a4"/>
        <w:jc w:val="center"/>
        <w:rPr>
          <w:color w:val="00FF00"/>
          <w:sz w:val="40"/>
          <w:szCs w:val="40"/>
        </w:rPr>
      </w:pPr>
      <w:r w:rsidRPr="007D1E80">
        <w:rPr>
          <w:color w:val="00FF00"/>
          <w:sz w:val="40"/>
          <w:szCs w:val="40"/>
        </w:rPr>
        <w:t>Расчеты</w:t>
      </w:r>
    </w:p>
    <w:p w:rsidR="00DB4AF2" w:rsidRDefault="00DB4AF2" w:rsidP="003168DE">
      <w:pPr>
        <w:pStyle w:val="a4"/>
      </w:pPr>
      <w:r>
        <w:t xml:space="preserve">Полученный результат показывает, что во второй корпорации 1% роста прибыли может способствовать увеличению дохода на одну акцию </w:t>
      </w:r>
      <w:r w:rsidRPr="003168DE">
        <w:rPr>
          <w:color w:val="FF0000"/>
          <w:sz w:val="40"/>
          <w:szCs w:val="40"/>
        </w:rPr>
        <w:t>на 1,25%.</w:t>
      </w:r>
      <w:r>
        <w:t xml:space="preserve"> Следовательно, влияние финансового левериджа во второй корпорации меньше.</w:t>
      </w:r>
    </w:p>
    <w:p w:rsidR="00DB4AF2" w:rsidRDefault="00DB4AF2" w:rsidP="009965F6">
      <w:pPr>
        <w:pStyle w:val="a4"/>
      </w:pPr>
      <w:r>
        <w:t>Измерение общего воздействия операционного и финансового левериджа.</w:t>
      </w:r>
    </w:p>
    <w:p w:rsidR="00DB4AF2" w:rsidRDefault="00DB4AF2" w:rsidP="009965F6">
      <w:pPr>
        <w:pStyle w:val="a4"/>
      </w:pPr>
      <w:r>
        <w:t>На практике применяют как операционный, так и финансовый леверидж.</w:t>
      </w:r>
    </w:p>
    <w:p w:rsidR="00DB4AF2" w:rsidRDefault="00DB4AF2" w:rsidP="009965F6">
      <w:pPr>
        <w:pStyle w:val="a4"/>
      </w:pPr>
      <w:r>
        <w:t>Совместное воздействие операционного и финансового левериджа рассчитывается следующим образом.</w:t>
      </w:r>
    </w:p>
    <w:p w:rsidR="00DB4AF2" w:rsidRPr="00687E57" w:rsidRDefault="00DB4AF2" w:rsidP="002C5E77">
      <w:pPr>
        <w:pStyle w:val="a4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Формула 3.5</w:t>
      </w:r>
    </w:p>
    <w:p w:rsidR="00DB4AF2" w:rsidRDefault="00DB4AF2" w:rsidP="009965F6">
      <w:pPr>
        <w:pStyle w:val="a4"/>
      </w:pPr>
    </w:p>
    <w:p w:rsidR="00DB4AF2" w:rsidRDefault="00DB4AF2" w:rsidP="002C5E77">
      <w:pPr>
        <w:pStyle w:val="a4"/>
      </w:pPr>
      <w:r>
        <w:t>Определяем общее влияние операционного и финансового левериджа:</w:t>
      </w:r>
    </w:p>
    <w:p w:rsidR="00DB4AF2" w:rsidRPr="007D1E80" w:rsidRDefault="00DB4AF2" w:rsidP="002C5E77">
      <w:pPr>
        <w:pStyle w:val="a4"/>
        <w:jc w:val="center"/>
        <w:rPr>
          <w:color w:val="00FF00"/>
          <w:sz w:val="40"/>
          <w:szCs w:val="40"/>
        </w:rPr>
      </w:pPr>
      <w:r w:rsidRPr="007D1E80">
        <w:rPr>
          <w:color w:val="00FF00"/>
          <w:sz w:val="40"/>
          <w:szCs w:val="40"/>
        </w:rPr>
        <w:t>Расчеты</w:t>
      </w:r>
    </w:p>
    <w:p w:rsidR="00DB4AF2" w:rsidRPr="007D1E80" w:rsidRDefault="00DB4AF2" w:rsidP="002C5E77">
      <w:pPr>
        <w:pStyle w:val="a4"/>
        <w:jc w:val="center"/>
        <w:rPr>
          <w:color w:val="00FF00"/>
          <w:sz w:val="40"/>
          <w:szCs w:val="40"/>
        </w:rPr>
      </w:pPr>
      <w:r w:rsidRPr="007D1E80">
        <w:rPr>
          <w:color w:val="00FF00"/>
          <w:sz w:val="40"/>
          <w:szCs w:val="40"/>
        </w:rPr>
        <w:t>Расчеты</w:t>
      </w:r>
    </w:p>
    <w:p w:rsidR="00DB4AF2" w:rsidRDefault="00DB4AF2" w:rsidP="002C5E77">
      <w:pPr>
        <w:pStyle w:val="a4"/>
      </w:pPr>
      <w:r>
        <w:t>Совместное воздействие на доходность одной акции выше в первой корпорации, где большие доли постоянных затрат и ссудного капитала в структуре капитала.</w:t>
      </w:r>
    </w:p>
    <w:p w:rsidR="00DB4AF2" w:rsidRDefault="00DB4AF2" w:rsidP="002C5E77">
      <w:pPr>
        <w:pStyle w:val="a4"/>
      </w:pPr>
      <w:r>
        <w:t>Риск, который берут на себя менеджеры первой корпорации, может способствовать значительному росту дохода на одну акцию, а при соответствующих решениях акционерного собрания - повышению дивидендов.</w:t>
      </w:r>
    </w:p>
    <w:p w:rsidR="00DB4AF2" w:rsidRDefault="00DB4AF2" w:rsidP="002C5E77">
      <w:pPr>
        <w:pStyle w:val="a4"/>
      </w:pPr>
    </w:p>
    <w:p w:rsidR="00DB4AF2" w:rsidRDefault="00DB4AF2" w:rsidP="002C5E77">
      <w:pPr>
        <w:pStyle w:val="a4"/>
      </w:pPr>
    </w:p>
    <w:p w:rsidR="00DB4AF2" w:rsidRPr="0063419D" w:rsidRDefault="00DB4AF2" w:rsidP="002C5E77">
      <w:pPr>
        <w:pStyle w:val="a4"/>
      </w:pPr>
    </w:p>
    <w:sectPr w:rsidR="00DB4AF2" w:rsidRPr="0063419D" w:rsidSect="005C7938">
      <w:headerReference w:type="default" r:id="rId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AF2" w:rsidRDefault="00DB4AF2">
      <w:r>
        <w:separator/>
      </w:r>
    </w:p>
  </w:endnote>
  <w:endnote w:type="continuationSeparator" w:id="0">
    <w:p w:rsidR="00DB4AF2" w:rsidRDefault="00DB4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AF2" w:rsidRDefault="00DB4AF2">
      <w:r>
        <w:separator/>
      </w:r>
    </w:p>
  </w:footnote>
  <w:footnote w:type="continuationSeparator" w:id="0">
    <w:p w:rsidR="00DB4AF2" w:rsidRDefault="00DB4A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AF2" w:rsidRPr="00830B7C" w:rsidRDefault="00DB4AF2">
    <w:pPr>
      <w:pStyle w:val="Header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>
      <w:rPr>
        <w:noProof/>
        <w:sz w:val="24"/>
        <w:szCs w:val="24"/>
      </w:rPr>
      <w:t>4</w:t>
    </w:r>
    <w:r w:rsidRPr="00830B7C">
      <w:rPr>
        <w:sz w:val="24"/>
        <w:szCs w:val="24"/>
      </w:rPr>
      <w:fldChar w:fldCharType="end"/>
    </w:r>
  </w:p>
  <w:p w:rsidR="00DB4AF2" w:rsidRDefault="00DB4A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0504F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5A2A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F52FE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8069C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69CED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7AD2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3C81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0ED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FA2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9FAC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11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5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7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9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2357D5"/>
    <w:multiLevelType w:val="multilevel"/>
    <w:tmpl w:val="5348899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 "/>
      <w:lvlJc w:val="left"/>
      <w:rPr>
        <w:rFonts w:cs="Times New Roman" w:hint="default"/>
      </w:rPr>
    </w:lvl>
    <w:lvl w:ilvl="3">
      <w:start w:val="1"/>
      <w:numFmt w:val="none"/>
      <w:lvlText w:val=""/>
      <w:lvlJc w:val="left"/>
      <w:rPr>
        <w:rFonts w:cs="Times New Roman" w:hint="default"/>
      </w:rPr>
    </w:lvl>
    <w:lvl w:ilvl="4">
      <w:start w:val="1"/>
      <w:numFmt w:val="none"/>
      <w:lvlRestart w:val="0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rPr>
        <w:rFonts w:cs="Times New Roman" w:hint="default"/>
      </w:rPr>
    </w:lvl>
    <w:lvl w:ilvl="6">
      <w:start w:val="1"/>
      <w:numFmt w:val="decimal"/>
      <w:lvlRestart w:val="0"/>
      <w:suff w:val="nothing"/>
      <w:lvlText w:val="(%1.%7)"/>
      <w:lvlJc w:val="left"/>
      <w:rPr>
        <w:rFonts w:cs="Times New Roman" w:hint="default"/>
      </w:rPr>
    </w:lvl>
    <w:lvl w:ilvl="7">
      <w:start w:val="1"/>
      <w:numFmt w:val="decimal"/>
      <w:lvlRestart w:val="0"/>
      <w:suff w:val="space"/>
      <w:lvlText w:val="Таблица %1.%8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Рисунок %1.%9"/>
      <w:lvlJc w:val="left"/>
      <w:pPr>
        <w:ind w:left="568"/>
      </w:pPr>
      <w:rPr>
        <w:rFonts w:cs="Times New Roman" w:hint="default"/>
      </w:rPr>
    </w:lvl>
  </w:abstractNum>
  <w:abstractNum w:abstractNumId="2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3"/>
      <w:suff w:val="space"/>
      <w:lvlText w:val="%1.%2.%3 "/>
      <w:lvlJc w:val="left"/>
      <w:rPr>
        <w:rFonts w:cs="Times New Roman" w:hint="default"/>
      </w:rPr>
    </w:lvl>
    <w:lvl w:ilvl="3">
      <w:start w:val="1"/>
      <w:numFmt w:val="none"/>
      <w:lvlText w:val=""/>
      <w:lvlJc w:val="left"/>
      <w:rPr>
        <w:rFonts w:cs="Times New Roman" w:hint="default"/>
      </w:rPr>
    </w:lvl>
    <w:lvl w:ilvl="4">
      <w:start w:val="1"/>
      <w:numFmt w:val="none"/>
      <w:lvlRestart w:val="0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rPr>
        <w:rFonts w:cs="Times New Roman" w:hint="default"/>
      </w:rPr>
    </w:lvl>
    <w:lvl w:ilvl="6">
      <w:start w:val="1"/>
      <w:numFmt w:val="decimal"/>
      <w:lvlRestart w:val="0"/>
      <w:pStyle w:val="a0"/>
      <w:suff w:val="nothing"/>
      <w:lvlText w:val="(%1.%7)"/>
      <w:lvlJc w:val="left"/>
      <w:rPr>
        <w:rFonts w:cs="Times New Roman" w:hint="default"/>
      </w:rPr>
    </w:lvl>
    <w:lvl w:ilvl="7">
      <w:start w:val="1"/>
      <w:numFmt w:val="decimal"/>
      <w:lvlRestart w:val="0"/>
      <w:pStyle w:val="a1"/>
      <w:suff w:val="space"/>
      <w:lvlText w:val="Таблица %1.%8"/>
      <w:lvlJc w:val="left"/>
      <w:rPr>
        <w:rFonts w:cs="Times New Roman" w:hint="default"/>
      </w:rPr>
    </w:lvl>
    <w:lvl w:ilvl="8">
      <w:start w:val="1"/>
      <w:numFmt w:val="decimal"/>
      <w:lvlRestart w:val="0"/>
      <w:pStyle w:val="a2"/>
      <w:suff w:val="space"/>
      <w:lvlText w:val="Рисунок %1.%9"/>
      <w:lvlJc w:val="left"/>
      <w:pPr>
        <w:ind w:left="568"/>
      </w:pPr>
      <w:rPr>
        <w:rFonts w:cs="Times New Roman" w:hint="default"/>
      </w:rPr>
    </w:lvl>
  </w:abstractNum>
  <w:abstractNum w:abstractNumId="26">
    <w:nsid w:val="64E73968"/>
    <w:multiLevelType w:val="multilevel"/>
    <w:tmpl w:val="C89C8082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 "/>
      <w:lvlJc w:val="left"/>
      <w:rPr>
        <w:rFonts w:cs="Times New Roman" w:hint="default"/>
      </w:rPr>
    </w:lvl>
    <w:lvl w:ilvl="3">
      <w:start w:val="1"/>
      <w:numFmt w:val="none"/>
      <w:lvlText w:val=""/>
      <w:lvlJc w:val="left"/>
      <w:rPr>
        <w:rFonts w:cs="Times New Roman" w:hint="default"/>
      </w:rPr>
    </w:lvl>
    <w:lvl w:ilvl="4">
      <w:start w:val="1"/>
      <w:numFmt w:val="none"/>
      <w:lvlRestart w:val="0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lvlText w:val=""/>
      <w:lvlJc w:val="left"/>
      <w:rPr>
        <w:rFonts w:cs="Times New Roman" w:hint="default"/>
      </w:rPr>
    </w:lvl>
    <w:lvl w:ilvl="6">
      <w:start w:val="1"/>
      <w:numFmt w:val="none"/>
      <w:lvlText w:val=""/>
      <w:lvlJc w:val="left"/>
      <w:rPr>
        <w:rFonts w:cs="Times New Roman" w:hint="default"/>
      </w:rPr>
    </w:lvl>
    <w:lvl w:ilvl="7">
      <w:start w:val="1"/>
      <w:numFmt w:val="decimal"/>
      <w:suff w:val="space"/>
      <w:lvlText w:val="Таблица %1.%8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Рисунок %1.%9"/>
      <w:lvlJc w:val="left"/>
      <w:rPr>
        <w:rFonts w:cs="Times New Roman"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7"/>
  </w:num>
  <w:num w:numId="4">
    <w:abstractNumId w:val="19"/>
  </w:num>
  <w:num w:numId="5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2"/>
  </w:num>
  <w:num w:numId="8">
    <w:abstractNumId w:val="17"/>
  </w:num>
  <w:num w:numId="9">
    <w:abstractNumId w:val="11"/>
  </w:num>
  <w:num w:numId="10">
    <w:abstractNumId w:val="30"/>
  </w:num>
  <w:num w:numId="11">
    <w:abstractNumId w:val="13"/>
  </w:num>
  <w:num w:numId="12">
    <w:abstractNumId w:val="12"/>
  </w:num>
  <w:num w:numId="13">
    <w:abstractNumId w:val="23"/>
  </w:num>
  <w:num w:numId="14">
    <w:abstractNumId w:val="15"/>
  </w:num>
  <w:num w:numId="15">
    <w:abstractNumId w:val="29"/>
  </w:num>
  <w:num w:numId="16">
    <w:abstractNumId w:val="16"/>
  </w:num>
  <w:num w:numId="17">
    <w:abstractNumId w:val="18"/>
  </w:num>
  <w:num w:numId="18">
    <w:abstractNumId w:val="14"/>
  </w:num>
  <w:num w:numId="19">
    <w:abstractNumId w:val="7"/>
  </w:num>
  <w:num w:numId="20">
    <w:abstractNumId w:val="21"/>
  </w:num>
  <w:num w:numId="21">
    <w:abstractNumId w:val="26"/>
  </w:num>
  <w:num w:numId="22">
    <w:abstractNumId w:val="26"/>
  </w:num>
  <w:num w:numId="23">
    <w:abstractNumId w:val="25"/>
  </w:num>
  <w:num w:numId="24">
    <w:abstractNumId w:val="25"/>
  </w:num>
  <w:num w:numId="25">
    <w:abstractNumId w:val="25"/>
  </w:num>
  <w:num w:numId="26">
    <w:abstractNumId w:val="25"/>
  </w:num>
  <w:num w:numId="27">
    <w:abstractNumId w:val="21"/>
  </w:num>
  <w:num w:numId="28">
    <w:abstractNumId w:val="25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7749"/>
    <w:rsid w:val="00000B95"/>
    <w:rsid w:val="00005FA2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74B53"/>
    <w:rsid w:val="000A0C87"/>
    <w:rsid w:val="000A575C"/>
    <w:rsid w:val="000D0C3F"/>
    <w:rsid w:val="000E05AE"/>
    <w:rsid w:val="000E12A0"/>
    <w:rsid w:val="000F0A6D"/>
    <w:rsid w:val="000F66AF"/>
    <w:rsid w:val="000F7B80"/>
    <w:rsid w:val="000F7BE6"/>
    <w:rsid w:val="00103425"/>
    <w:rsid w:val="00123D60"/>
    <w:rsid w:val="00125740"/>
    <w:rsid w:val="00130592"/>
    <w:rsid w:val="00130F56"/>
    <w:rsid w:val="00133A80"/>
    <w:rsid w:val="001426E1"/>
    <w:rsid w:val="00142EDD"/>
    <w:rsid w:val="00142FEB"/>
    <w:rsid w:val="00143677"/>
    <w:rsid w:val="001510E4"/>
    <w:rsid w:val="0015298A"/>
    <w:rsid w:val="00153EB8"/>
    <w:rsid w:val="00160B1B"/>
    <w:rsid w:val="00164C4D"/>
    <w:rsid w:val="00171DC4"/>
    <w:rsid w:val="00174C80"/>
    <w:rsid w:val="00182384"/>
    <w:rsid w:val="00184582"/>
    <w:rsid w:val="001A3EE1"/>
    <w:rsid w:val="001A42B3"/>
    <w:rsid w:val="001C407A"/>
    <w:rsid w:val="001C5516"/>
    <w:rsid w:val="001D3E09"/>
    <w:rsid w:val="001D44F1"/>
    <w:rsid w:val="001E1226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4691F"/>
    <w:rsid w:val="0025305F"/>
    <w:rsid w:val="00274756"/>
    <w:rsid w:val="00284F0D"/>
    <w:rsid w:val="002A4A83"/>
    <w:rsid w:val="002C14DF"/>
    <w:rsid w:val="002C5E77"/>
    <w:rsid w:val="002D1317"/>
    <w:rsid w:val="002D2116"/>
    <w:rsid w:val="002E1E34"/>
    <w:rsid w:val="002E6670"/>
    <w:rsid w:val="0030381C"/>
    <w:rsid w:val="00303CE9"/>
    <w:rsid w:val="00310BF0"/>
    <w:rsid w:val="003168DE"/>
    <w:rsid w:val="0032229E"/>
    <w:rsid w:val="00330017"/>
    <w:rsid w:val="003306DD"/>
    <w:rsid w:val="003673FE"/>
    <w:rsid w:val="00375FEC"/>
    <w:rsid w:val="00393E8B"/>
    <w:rsid w:val="00395EC0"/>
    <w:rsid w:val="003A52AB"/>
    <w:rsid w:val="003B1088"/>
    <w:rsid w:val="003C0732"/>
    <w:rsid w:val="003C7696"/>
    <w:rsid w:val="003D2CE4"/>
    <w:rsid w:val="003D5543"/>
    <w:rsid w:val="003E16D5"/>
    <w:rsid w:val="003E2AFF"/>
    <w:rsid w:val="003F2DE1"/>
    <w:rsid w:val="003F31A0"/>
    <w:rsid w:val="003F3660"/>
    <w:rsid w:val="004040E0"/>
    <w:rsid w:val="004072E1"/>
    <w:rsid w:val="004117CA"/>
    <w:rsid w:val="00412334"/>
    <w:rsid w:val="00413D24"/>
    <w:rsid w:val="0041485A"/>
    <w:rsid w:val="0041631A"/>
    <w:rsid w:val="004217AC"/>
    <w:rsid w:val="00424559"/>
    <w:rsid w:val="004331AD"/>
    <w:rsid w:val="00433208"/>
    <w:rsid w:val="0043328A"/>
    <w:rsid w:val="004363E1"/>
    <w:rsid w:val="00457349"/>
    <w:rsid w:val="004704C0"/>
    <w:rsid w:val="00474297"/>
    <w:rsid w:val="00484EA7"/>
    <w:rsid w:val="00486B33"/>
    <w:rsid w:val="00495866"/>
    <w:rsid w:val="00496704"/>
    <w:rsid w:val="004A0120"/>
    <w:rsid w:val="004A6E8F"/>
    <w:rsid w:val="004B0FBD"/>
    <w:rsid w:val="004B3830"/>
    <w:rsid w:val="004B716C"/>
    <w:rsid w:val="004C3E98"/>
    <w:rsid w:val="004C5B36"/>
    <w:rsid w:val="004C5FCF"/>
    <w:rsid w:val="004D1CA8"/>
    <w:rsid w:val="004D37E7"/>
    <w:rsid w:val="004D4300"/>
    <w:rsid w:val="004E2F6E"/>
    <w:rsid w:val="004E6DFC"/>
    <w:rsid w:val="0050131D"/>
    <w:rsid w:val="005039F6"/>
    <w:rsid w:val="0050455C"/>
    <w:rsid w:val="00512CD0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E24D4"/>
    <w:rsid w:val="005F202E"/>
    <w:rsid w:val="005F2D72"/>
    <w:rsid w:val="0060439D"/>
    <w:rsid w:val="00610F56"/>
    <w:rsid w:val="006110BD"/>
    <w:rsid w:val="00614317"/>
    <w:rsid w:val="00614C5D"/>
    <w:rsid w:val="006172B5"/>
    <w:rsid w:val="00625891"/>
    <w:rsid w:val="0063419D"/>
    <w:rsid w:val="006419D5"/>
    <w:rsid w:val="00645BA5"/>
    <w:rsid w:val="0065082E"/>
    <w:rsid w:val="00655298"/>
    <w:rsid w:val="0066261C"/>
    <w:rsid w:val="00675FC7"/>
    <w:rsid w:val="00680306"/>
    <w:rsid w:val="00680BBB"/>
    <w:rsid w:val="00681A21"/>
    <w:rsid w:val="006850CD"/>
    <w:rsid w:val="00687E57"/>
    <w:rsid w:val="006943F7"/>
    <w:rsid w:val="006A2E8A"/>
    <w:rsid w:val="006A346C"/>
    <w:rsid w:val="006A7590"/>
    <w:rsid w:val="006B14D2"/>
    <w:rsid w:val="006B1E68"/>
    <w:rsid w:val="006B1EDB"/>
    <w:rsid w:val="006D160D"/>
    <w:rsid w:val="006D546D"/>
    <w:rsid w:val="006E182F"/>
    <w:rsid w:val="006E72AE"/>
    <w:rsid w:val="006F0025"/>
    <w:rsid w:val="00720A4B"/>
    <w:rsid w:val="00721601"/>
    <w:rsid w:val="007220C5"/>
    <w:rsid w:val="00734F7C"/>
    <w:rsid w:val="007504F9"/>
    <w:rsid w:val="00761429"/>
    <w:rsid w:val="00767EA0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58F"/>
    <w:rsid w:val="007B2D09"/>
    <w:rsid w:val="007B75CF"/>
    <w:rsid w:val="007B7E13"/>
    <w:rsid w:val="007C4DC3"/>
    <w:rsid w:val="007D1CD7"/>
    <w:rsid w:val="007D1E80"/>
    <w:rsid w:val="007E0BFA"/>
    <w:rsid w:val="007E2B2A"/>
    <w:rsid w:val="007E37CB"/>
    <w:rsid w:val="007F5499"/>
    <w:rsid w:val="008117AD"/>
    <w:rsid w:val="0081772A"/>
    <w:rsid w:val="00830B7C"/>
    <w:rsid w:val="00834184"/>
    <w:rsid w:val="00840038"/>
    <w:rsid w:val="00840173"/>
    <w:rsid w:val="008402EC"/>
    <w:rsid w:val="00844D0A"/>
    <w:rsid w:val="00846333"/>
    <w:rsid w:val="008557CD"/>
    <w:rsid w:val="0085631A"/>
    <w:rsid w:val="00856962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7708"/>
    <w:rsid w:val="008D039C"/>
    <w:rsid w:val="008D2A54"/>
    <w:rsid w:val="008E2DEA"/>
    <w:rsid w:val="008E533F"/>
    <w:rsid w:val="008E5C07"/>
    <w:rsid w:val="008F35DE"/>
    <w:rsid w:val="008F6E95"/>
    <w:rsid w:val="00900430"/>
    <w:rsid w:val="009032F2"/>
    <w:rsid w:val="00907DA8"/>
    <w:rsid w:val="00924153"/>
    <w:rsid w:val="009262B6"/>
    <w:rsid w:val="009300D3"/>
    <w:rsid w:val="00937456"/>
    <w:rsid w:val="00952A39"/>
    <w:rsid w:val="00954B08"/>
    <w:rsid w:val="00975D2E"/>
    <w:rsid w:val="00984473"/>
    <w:rsid w:val="009903E7"/>
    <w:rsid w:val="00991ABD"/>
    <w:rsid w:val="009965F6"/>
    <w:rsid w:val="009A25EE"/>
    <w:rsid w:val="009A5D09"/>
    <w:rsid w:val="009A6A9B"/>
    <w:rsid w:val="009A7D67"/>
    <w:rsid w:val="009B3889"/>
    <w:rsid w:val="009C1D99"/>
    <w:rsid w:val="009E16D4"/>
    <w:rsid w:val="009E3124"/>
    <w:rsid w:val="009E6589"/>
    <w:rsid w:val="009E6EDE"/>
    <w:rsid w:val="009F04D9"/>
    <w:rsid w:val="009F46CA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042"/>
    <w:rsid w:val="00AA6C59"/>
    <w:rsid w:val="00AB190F"/>
    <w:rsid w:val="00AB7E1B"/>
    <w:rsid w:val="00AC0EAC"/>
    <w:rsid w:val="00AC6E90"/>
    <w:rsid w:val="00AE3160"/>
    <w:rsid w:val="00AE3717"/>
    <w:rsid w:val="00AE3997"/>
    <w:rsid w:val="00B04E67"/>
    <w:rsid w:val="00B10D17"/>
    <w:rsid w:val="00B3435C"/>
    <w:rsid w:val="00B357FD"/>
    <w:rsid w:val="00B40228"/>
    <w:rsid w:val="00B6001F"/>
    <w:rsid w:val="00B604E2"/>
    <w:rsid w:val="00B6175C"/>
    <w:rsid w:val="00B647BD"/>
    <w:rsid w:val="00B664A5"/>
    <w:rsid w:val="00B9180C"/>
    <w:rsid w:val="00BA0764"/>
    <w:rsid w:val="00BA303D"/>
    <w:rsid w:val="00BA5F86"/>
    <w:rsid w:val="00BB1D1A"/>
    <w:rsid w:val="00BB2EEE"/>
    <w:rsid w:val="00BC4975"/>
    <w:rsid w:val="00BC52A1"/>
    <w:rsid w:val="00BD46F6"/>
    <w:rsid w:val="00BD4776"/>
    <w:rsid w:val="00BE4A51"/>
    <w:rsid w:val="00BE52B9"/>
    <w:rsid w:val="00BF022E"/>
    <w:rsid w:val="00BF36E6"/>
    <w:rsid w:val="00BF57D6"/>
    <w:rsid w:val="00C079B4"/>
    <w:rsid w:val="00C110FF"/>
    <w:rsid w:val="00C12D94"/>
    <w:rsid w:val="00C16887"/>
    <w:rsid w:val="00C338F7"/>
    <w:rsid w:val="00C41794"/>
    <w:rsid w:val="00C43436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E18BF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7B2E"/>
    <w:rsid w:val="00D61D8E"/>
    <w:rsid w:val="00D624D0"/>
    <w:rsid w:val="00D660EA"/>
    <w:rsid w:val="00D6742E"/>
    <w:rsid w:val="00D84077"/>
    <w:rsid w:val="00D8440A"/>
    <w:rsid w:val="00D84EB5"/>
    <w:rsid w:val="00D95CBD"/>
    <w:rsid w:val="00DA296D"/>
    <w:rsid w:val="00DA3566"/>
    <w:rsid w:val="00DA6F9E"/>
    <w:rsid w:val="00DB30B9"/>
    <w:rsid w:val="00DB3E4F"/>
    <w:rsid w:val="00DB3F9E"/>
    <w:rsid w:val="00DB4AF2"/>
    <w:rsid w:val="00DB6E70"/>
    <w:rsid w:val="00DB706A"/>
    <w:rsid w:val="00DD1EB7"/>
    <w:rsid w:val="00DD31AF"/>
    <w:rsid w:val="00DE12AE"/>
    <w:rsid w:val="00DE421D"/>
    <w:rsid w:val="00DF5E26"/>
    <w:rsid w:val="00E06940"/>
    <w:rsid w:val="00E1164D"/>
    <w:rsid w:val="00E141D9"/>
    <w:rsid w:val="00E17541"/>
    <w:rsid w:val="00E30892"/>
    <w:rsid w:val="00E53980"/>
    <w:rsid w:val="00E81F69"/>
    <w:rsid w:val="00E82641"/>
    <w:rsid w:val="00E84E27"/>
    <w:rsid w:val="00E94541"/>
    <w:rsid w:val="00EA7AF3"/>
    <w:rsid w:val="00EB0589"/>
    <w:rsid w:val="00EB48F5"/>
    <w:rsid w:val="00EB6D4B"/>
    <w:rsid w:val="00ED3111"/>
    <w:rsid w:val="00EE3235"/>
    <w:rsid w:val="00EE3CCE"/>
    <w:rsid w:val="00F176E2"/>
    <w:rsid w:val="00F22F95"/>
    <w:rsid w:val="00F26547"/>
    <w:rsid w:val="00F26A82"/>
    <w:rsid w:val="00F3299D"/>
    <w:rsid w:val="00F32D9C"/>
    <w:rsid w:val="00F42340"/>
    <w:rsid w:val="00F5417A"/>
    <w:rsid w:val="00F636FA"/>
    <w:rsid w:val="00F661CB"/>
    <w:rsid w:val="00F9251D"/>
    <w:rsid w:val="00F96F7D"/>
    <w:rsid w:val="00FA0FA5"/>
    <w:rsid w:val="00FA1302"/>
    <w:rsid w:val="00FB22CD"/>
    <w:rsid w:val="00FC1850"/>
    <w:rsid w:val="00FC3F2F"/>
    <w:rsid w:val="00FD257F"/>
    <w:rsid w:val="00FE7075"/>
    <w:rsid w:val="00FF7566"/>
    <w:rsid w:val="00FF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184582"/>
    <w:pPr>
      <w:ind w:firstLine="720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84582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184582"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84582"/>
    <w:pPr>
      <w:keepNext/>
      <w:ind w:left="1440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84582"/>
    <w:pPr>
      <w:keepNext/>
      <w:widowControl w:val="0"/>
      <w:outlineLvl w:val="5"/>
    </w:pPr>
    <w:rPr>
      <w:sz w:val="30"/>
      <w:szCs w:val="30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84582"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84582"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84582"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0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00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00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00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00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00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00B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00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00B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semiHidden/>
    <w:rsid w:val="00184582"/>
    <w:pPr>
      <w:jc w:val="center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8100B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18458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00B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18458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00B"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18458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100B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184582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184582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98100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18458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100B"/>
    <w:rPr>
      <w:sz w:val="0"/>
      <w:szCs w:val="0"/>
    </w:rPr>
  </w:style>
  <w:style w:type="paragraph" w:styleId="Caption">
    <w:name w:val="caption"/>
    <w:basedOn w:val="Normal"/>
    <w:next w:val="Normal"/>
    <w:uiPriority w:val="99"/>
    <w:qFormat/>
    <w:rsid w:val="00184582"/>
    <w:rPr>
      <w:sz w:val="28"/>
      <w:szCs w:val="24"/>
      <w:lang w:val="uk-UA"/>
    </w:rPr>
  </w:style>
  <w:style w:type="character" w:styleId="Hyperlink">
    <w:name w:val="Hyperlink"/>
    <w:basedOn w:val="DefaultParagraphFont"/>
    <w:uiPriority w:val="99"/>
    <w:rsid w:val="0018458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184582"/>
    <w:rPr>
      <w:rFonts w:cs="Times New Roman"/>
      <w:color w:val="800080"/>
      <w:u w:val="single"/>
    </w:rPr>
  </w:style>
  <w:style w:type="paragraph" w:styleId="TOC1">
    <w:name w:val="toc 1"/>
    <w:basedOn w:val="a4"/>
    <w:next w:val="a4"/>
    <w:autoRedefine/>
    <w:uiPriority w:val="99"/>
    <w:rsid w:val="000E12A0"/>
    <w:pPr>
      <w:spacing w:before="120" w:after="120"/>
      <w:jc w:val="left"/>
    </w:pPr>
    <w:rPr>
      <w:bCs/>
      <w:caps/>
    </w:rPr>
  </w:style>
  <w:style w:type="character" w:customStyle="1" w:styleId="a5">
    <w:name w:val="Нижний колонтитул Знак"/>
    <w:uiPriority w:val="99"/>
    <w:rsid w:val="00184582"/>
    <w:rPr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184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0B"/>
    <w:rPr>
      <w:sz w:val="0"/>
      <w:szCs w:val="0"/>
    </w:rPr>
  </w:style>
  <w:style w:type="character" w:customStyle="1" w:styleId="a6">
    <w:name w:val="Верхний колонтитул Знак"/>
    <w:uiPriority w:val="99"/>
    <w:rsid w:val="00184582"/>
    <w:rPr>
      <w:lang w:val="ru-RU" w:eastAsia="ru-RU"/>
    </w:rPr>
  </w:style>
  <w:style w:type="paragraph" w:styleId="TOCHeading">
    <w:name w:val="TOC Heading"/>
    <w:basedOn w:val="Heading1"/>
    <w:next w:val="Normal"/>
    <w:uiPriority w:val="99"/>
    <w:qFormat/>
    <w:rsid w:val="00184582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TOC2">
    <w:name w:val="toc 2"/>
    <w:basedOn w:val="a4"/>
    <w:next w:val="a4"/>
    <w:autoRedefine/>
    <w:uiPriority w:val="99"/>
    <w:rsid w:val="000E12A0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rsid w:val="00184582"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0">
    <w:name w:val="Стиль1"/>
    <w:basedOn w:val="Normal"/>
    <w:uiPriority w:val="99"/>
    <w:rsid w:val="00184582"/>
    <w:rPr>
      <w:sz w:val="28"/>
    </w:rPr>
  </w:style>
  <w:style w:type="paragraph" w:customStyle="1" w:styleId="a3">
    <w:name w:val="Маркерованный"/>
    <w:basedOn w:val="Normal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99"/>
    <w:qFormat/>
    <w:rsid w:val="00000B95"/>
    <w:pPr>
      <w:ind w:left="720"/>
    </w:pPr>
    <w:rPr>
      <w:sz w:val="24"/>
      <w:szCs w:val="24"/>
    </w:rPr>
  </w:style>
  <w:style w:type="paragraph" w:styleId="NoSpacing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BookTitle">
    <w:name w:val="Book Title"/>
    <w:basedOn w:val="DefaultParagraphFont"/>
    <w:uiPriority w:val="99"/>
    <w:qFormat/>
    <w:rsid w:val="00AA1155"/>
    <w:rPr>
      <w:b/>
      <w:smallCaps/>
      <w:spacing w:val="5"/>
    </w:rPr>
  </w:style>
  <w:style w:type="paragraph" w:customStyle="1" w:styleId="1">
    <w:name w:val="_К. заголовок 1"/>
    <w:basedOn w:val="a4"/>
    <w:next w:val="a4"/>
    <w:link w:val="11"/>
    <w:uiPriority w:val="99"/>
    <w:rsid w:val="00BE52B9"/>
    <w:pPr>
      <w:numPr>
        <w:numId w:val="28"/>
      </w:numPr>
      <w:spacing w:after="560"/>
      <w:ind w:firstLine="0"/>
      <w:jc w:val="center"/>
      <w:outlineLvl w:val="0"/>
    </w:pPr>
    <w:rPr>
      <w:caps/>
    </w:rPr>
  </w:style>
  <w:style w:type="character" w:customStyle="1" w:styleId="11">
    <w:name w:val="_К. заголовок 1 Знак"/>
    <w:link w:val="1"/>
    <w:uiPriority w:val="99"/>
    <w:locked/>
    <w:rsid w:val="00BE52B9"/>
    <w:rPr>
      <w:caps/>
      <w:color w:val="000000"/>
      <w:sz w:val="28"/>
    </w:rPr>
  </w:style>
  <w:style w:type="paragraph" w:customStyle="1" w:styleId="2">
    <w:name w:val="_К. заголовок 2"/>
    <w:basedOn w:val="Heading2"/>
    <w:next w:val="a4"/>
    <w:link w:val="20"/>
    <w:uiPriority w:val="99"/>
    <w:rsid w:val="00005FA2"/>
    <w:pPr>
      <w:numPr>
        <w:ilvl w:val="1"/>
        <w:numId w:val="28"/>
      </w:numPr>
      <w:spacing w:after="280"/>
      <w:jc w:val="both"/>
    </w:pPr>
    <w:rPr>
      <w:b w:val="0"/>
      <w:color w:val="000000"/>
      <w:sz w:val="28"/>
      <w:szCs w:val="24"/>
    </w:rPr>
  </w:style>
  <w:style w:type="character" w:customStyle="1" w:styleId="20">
    <w:name w:val="_К. заголовок 2 Знак"/>
    <w:link w:val="2"/>
    <w:uiPriority w:val="99"/>
    <w:locked/>
    <w:rsid w:val="00005FA2"/>
    <w:rPr>
      <w:color w:val="000000"/>
      <w:sz w:val="24"/>
    </w:rPr>
  </w:style>
  <w:style w:type="paragraph" w:customStyle="1" w:styleId="a4">
    <w:name w:val="_К. Основной"/>
    <w:basedOn w:val="BodyText"/>
    <w:link w:val="a7"/>
    <w:uiPriority w:val="99"/>
    <w:rsid w:val="00412334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7">
    <w:name w:val="_К. Основной Знак"/>
    <w:link w:val="a4"/>
    <w:uiPriority w:val="99"/>
    <w:locked/>
    <w:rsid w:val="00412334"/>
    <w:rPr>
      <w:color w:val="000000"/>
      <w:sz w:val="28"/>
    </w:rPr>
  </w:style>
  <w:style w:type="paragraph" w:customStyle="1" w:styleId="3">
    <w:name w:val="_К. заголовок 3"/>
    <w:basedOn w:val="a4"/>
    <w:next w:val="a4"/>
    <w:uiPriority w:val="99"/>
    <w:rsid w:val="00412334"/>
    <w:pPr>
      <w:numPr>
        <w:ilvl w:val="2"/>
        <w:numId w:val="28"/>
      </w:numPr>
      <w:ind w:firstLine="0"/>
    </w:pPr>
    <w:rPr>
      <w:color w:val="auto"/>
      <w:lang w:val="en-US"/>
    </w:rPr>
  </w:style>
  <w:style w:type="table" w:styleId="TableGrid">
    <w:name w:val="Table Grid"/>
    <w:basedOn w:val="TableNormal"/>
    <w:uiPriority w:val="99"/>
    <w:rsid w:val="004D1CA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_К. Название рисунка"/>
    <w:basedOn w:val="a4"/>
    <w:next w:val="a4"/>
    <w:uiPriority w:val="99"/>
    <w:rsid w:val="00412334"/>
    <w:pPr>
      <w:numPr>
        <w:ilvl w:val="8"/>
        <w:numId w:val="28"/>
      </w:numPr>
      <w:ind w:firstLine="0"/>
      <w:jc w:val="center"/>
    </w:pPr>
  </w:style>
  <w:style w:type="paragraph" w:customStyle="1" w:styleId="a1">
    <w:name w:val="_К. Название таблицы"/>
    <w:basedOn w:val="a4"/>
    <w:next w:val="a4"/>
    <w:uiPriority w:val="99"/>
    <w:rsid w:val="00412334"/>
    <w:pPr>
      <w:numPr>
        <w:ilvl w:val="7"/>
        <w:numId w:val="28"/>
      </w:numPr>
      <w:ind w:firstLine="0"/>
    </w:pPr>
  </w:style>
  <w:style w:type="paragraph" w:customStyle="1" w:styleId="a8">
    <w:name w:val="_К. Таблица"/>
    <w:basedOn w:val="Normal"/>
    <w:uiPriority w:val="99"/>
    <w:rsid w:val="00412334"/>
    <w:pPr>
      <w:ind w:firstLine="0"/>
      <w:jc w:val="center"/>
    </w:pPr>
    <w:rPr>
      <w:sz w:val="24"/>
      <w:szCs w:val="24"/>
    </w:rPr>
  </w:style>
  <w:style w:type="paragraph" w:customStyle="1" w:styleId="a0">
    <w:name w:val="_К. Формула №"/>
    <w:basedOn w:val="a4"/>
    <w:next w:val="a4"/>
    <w:uiPriority w:val="99"/>
    <w:rsid w:val="00412334"/>
    <w:pPr>
      <w:numPr>
        <w:ilvl w:val="6"/>
        <w:numId w:val="28"/>
      </w:numPr>
      <w:ind w:firstLine="0"/>
      <w:jc w:val="right"/>
    </w:pPr>
  </w:style>
  <w:style w:type="paragraph" w:customStyle="1" w:styleId="21">
    <w:name w:val="К. заголовок 2"/>
    <w:basedOn w:val="Heading2"/>
    <w:next w:val="Normal"/>
    <w:uiPriority w:val="99"/>
    <w:rsid w:val="00005FA2"/>
    <w:pPr>
      <w:jc w:val="both"/>
    </w:pPr>
    <w:rPr>
      <w:b w:val="0"/>
      <w:color w:val="000000"/>
      <w:sz w:val="28"/>
      <w:szCs w:val="24"/>
    </w:rPr>
  </w:style>
  <w:style w:type="paragraph" w:customStyle="1" w:styleId="a9">
    <w:name w:val="К. Название рисунка"/>
    <w:basedOn w:val="aa"/>
    <w:next w:val="aa"/>
    <w:uiPriority w:val="99"/>
    <w:rsid w:val="00005FA2"/>
    <w:pPr>
      <w:tabs>
        <w:tab w:val="num" w:pos="6480"/>
      </w:tabs>
      <w:ind w:left="6480" w:hanging="180"/>
      <w:jc w:val="center"/>
    </w:pPr>
  </w:style>
  <w:style w:type="paragraph" w:customStyle="1" w:styleId="aa">
    <w:name w:val="К. Основной"/>
    <w:basedOn w:val="BodyText"/>
    <w:link w:val="ab"/>
    <w:uiPriority w:val="99"/>
    <w:rsid w:val="00005FA2"/>
    <w:pPr>
      <w:jc w:val="both"/>
    </w:pPr>
    <w:rPr>
      <w:color w:val="000000"/>
      <w:sz w:val="28"/>
      <w:szCs w:val="28"/>
    </w:rPr>
  </w:style>
  <w:style w:type="character" w:customStyle="1" w:styleId="ab">
    <w:name w:val="К. Основной Знак"/>
    <w:link w:val="aa"/>
    <w:uiPriority w:val="99"/>
    <w:locked/>
    <w:rsid w:val="00005FA2"/>
    <w:rPr>
      <w:color w:val="000000"/>
      <w:sz w:val="28"/>
    </w:rPr>
  </w:style>
  <w:style w:type="paragraph" w:customStyle="1" w:styleId="ac">
    <w:name w:val="К. Название таблицы"/>
    <w:basedOn w:val="aa"/>
    <w:next w:val="aa"/>
    <w:uiPriority w:val="99"/>
    <w:rsid w:val="00005FA2"/>
    <w:pPr>
      <w:tabs>
        <w:tab w:val="num" w:pos="5760"/>
      </w:tabs>
      <w:ind w:left="5760" w:hanging="360"/>
    </w:pPr>
  </w:style>
  <w:style w:type="paragraph" w:customStyle="1" w:styleId="30">
    <w:name w:val="К. заголовок 3"/>
    <w:basedOn w:val="aa"/>
    <w:next w:val="aa"/>
    <w:uiPriority w:val="99"/>
    <w:rsid w:val="00005FA2"/>
    <w:pPr>
      <w:tabs>
        <w:tab w:val="num" w:pos="2160"/>
      </w:tabs>
      <w:ind w:left="2160" w:hanging="180"/>
    </w:pPr>
    <w:rPr>
      <w:color w:val="auto"/>
      <w:lang w:val="en-US"/>
    </w:rPr>
  </w:style>
  <w:style w:type="paragraph" w:customStyle="1" w:styleId="ad">
    <w:name w:val="К. Формула №"/>
    <w:basedOn w:val="aa"/>
    <w:next w:val="aa"/>
    <w:uiPriority w:val="99"/>
    <w:rsid w:val="00005FA2"/>
    <w:pPr>
      <w:tabs>
        <w:tab w:val="num" w:pos="5040"/>
      </w:tabs>
      <w:spacing w:line="360" w:lineRule="auto"/>
      <w:ind w:left="5040" w:hanging="360"/>
      <w:jc w:val="right"/>
    </w:pPr>
  </w:style>
  <w:style w:type="character" w:styleId="PlaceholderText">
    <w:name w:val="Placeholder Text"/>
    <w:basedOn w:val="DefaultParagraphFont"/>
    <w:uiPriority w:val="99"/>
    <w:semiHidden/>
    <w:rsid w:val="00005FA2"/>
    <w:rPr>
      <w:rFonts w:cs="Times New Roman"/>
      <w:color w:val="808080"/>
    </w:rPr>
  </w:style>
  <w:style w:type="numbering" w:customStyle="1" w:styleId="a">
    <w:name w:val="К. Подпись рисунка"/>
    <w:rsid w:val="0098100B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1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</Template>
  <TotalTime>790</TotalTime>
  <Pages>4</Pages>
  <Words>634</Words>
  <Characters>3619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subject/>
  <dc:creator>Antis Smith</dc:creator>
  <cp:keywords/>
  <dc:description/>
  <cp:lastModifiedBy>PC</cp:lastModifiedBy>
  <cp:revision>81</cp:revision>
  <cp:lastPrinted>2013-01-11T04:01:00Z</cp:lastPrinted>
  <dcterms:created xsi:type="dcterms:W3CDTF">2020-04-11T08:30:00Z</dcterms:created>
  <dcterms:modified xsi:type="dcterms:W3CDTF">2020-04-15T10:00:00Z</dcterms:modified>
</cp:coreProperties>
</file>