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782C54">
      <w:pPr>
        <w:jc w:val="center"/>
        <w:rPr>
          <w:b/>
          <w:i/>
          <w:sz w:val="36"/>
          <w:szCs w:val="36"/>
        </w:rPr>
      </w:pPr>
      <w:r w:rsidRPr="00624FD7">
        <w:rPr>
          <w:b/>
          <w:sz w:val="36"/>
          <w:szCs w:val="36"/>
        </w:rPr>
        <w:lastRenderedPageBreak/>
        <w:t>Задача</w:t>
      </w:r>
      <w:r w:rsidRPr="00624FD7">
        <w:rPr>
          <w:b/>
          <w:i/>
          <w:sz w:val="36"/>
          <w:szCs w:val="36"/>
        </w:rPr>
        <w:t xml:space="preserve"> </w:t>
      </w:r>
      <w:r w:rsidRPr="00624FD7">
        <w:rPr>
          <w:b/>
          <w:sz w:val="36"/>
          <w:szCs w:val="36"/>
        </w:rPr>
        <w:t>1</w:t>
      </w:r>
    </w:p>
    <w:p w:rsidR="00782C54" w:rsidRPr="00CC458C" w:rsidRDefault="00782C54" w:rsidP="00782C54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"Парная регрессия и корреляция"</w:t>
      </w:r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A904D6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A904D6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0524CA" w:rsidRPr="00CC531D" w:rsidRDefault="000524CA" w:rsidP="000524CA">
      <w:pPr>
        <w:rPr>
          <w:sz w:val="28"/>
          <w:szCs w:val="28"/>
        </w:rPr>
      </w:pPr>
      <w:r w:rsidRPr="00CC531D">
        <w:rPr>
          <w:sz w:val="28"/>
          <w:szCs w:val="28"/>
        </w:rPr>
        <w:t xml:space="preserve">2). Определить параметры уравнения парной линейной регрессии </w:t>
      </w:r>
      <w:r w:rsidRPr="00CC531D">
        <w:rPr>
          <w:i/>
          <w:sz w:val="28"/>
          <w:szCs w:val="28"/>
        </w:rPr>
        <w:t>Y</w:t>
      </w:r>
      <w:r w:rsidRPr="00CC531D">
        <w:rPr>
          <w:sz w:val="28"/>
          <w:szCs w:val="28"/>
        </w:rPr>
        <w:t xml:space="preserve"> на 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>.</w:t>
      </w:r>
    </w:p>
    <w:p w:rsidR="0094562C" w:rsidRDefault="0094562C" w:rsidP="0094562C">
      <w:pPr>
        <w:pStyle w:val="21"/>
        <w:jc w:val="left"/>
      </w:pPr>
    </w:p>
    <w:p w:rsidR="0094562C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p w:rsidR="0094562C" w:rsidRDefault="0094562C" w:rsidP="0094562C">
      <w:pPr>
        <w:pStyle w:val="af6"/>
        <w:jc w:val="center"/>
      </w:pPr>
      <w:proofErr w:type="spellStart"/>
      <w:r>
        <w:rPr>
          <w:i/>
        </w:rPr>
        <w:t>Ye</w:t>
      </w:r>
      <w:proofErr w:type="spellEnd"/>
      <w:r>
        <w:rPr>
          <w:i/>
        </w:rPr>
        <w:t xml:space="preserve"> = a + </w:t>
      </w:r>
      <w:proofErr w:type="spellStart"/>
      <w:r>
        <w:rPr>
          <w:i/>
        </w:rPr>
        <w:t>bx</w:t>
      </w:r>
      <w:proofErr w:type="spellEnd"/>
      <w:r w:rsidRPr="0094562C">
        <w:t>,</w:t>
      </w:r>
    </w:p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Pr="0094562C" w:rsidRDefault="0094562C" w:rsidP="0094562C">
      <w:pPr>
        <w:pStyle w:val="af6"/>
        <w:ind w:firstLine="0"/>
      </w:pPr>
      <w:r w:rsidRPr="0094562C">
        <w:t>была наименьшей:</w:t>
      </w:r>
    </w:p>
    <w:p w:rsidR="0094562C" w:rsidRDefault="0094562C" w:rsidP="000524CA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/>
                          </m:groupChr>
                        </m:e>
                      </m:box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</m:nary>
                </m:e>
              </m:nary>
            </m:e>
          </m:nary>
        </m:oMath>
      </m:oMathPara>
    </w:p>
    <w:p w:rsidR="00567948" w:rsidRPr="00BC0F66" w:rsidRDefault="00BC0F66" w:rsidP="002F729A">
      <w:pPr>
        <w:pStyle w:val="af6"/>
      </w:pPr>
      <w:r>
        <w:t>Ч</w:t>
      </w:r>
      <w:r w:rsidR="002F729A" w:rsidRPr="002F729A">
        <w:t>ерез</w:t>
      </w:r>
      <w:r>
        <w:t xml:space="preserve"> </w:t>
      </w:r>
      <w:r w:rsidR="002F729A" w:rsidRPr="002F729A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F729A" w:rsidRPr="002F729A">
        <w:t xml:space="preserve"> и</w:t>
      </w:r>
      <w:r>
        <w:t xml:space="preserve"> </w:t>
      </w:r>
      <w:r w:rsidR="002F729A" w:rsidRPr="002F729A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2F729A" w:rsidRPr="002F729A">
        <w:t xml:space="preserve"> обозначи</w:t>
      </w:r>
      <w:r>
        <w:t>м</w:t>
      </w:r>
      <w:r w:rsidR="002F729A" w:rsidRPr="002F729A">
        <w:t xml:space="preserve"> средние значения признаков </w:t>
      </w:r>
      <w:r w:rsidR="002F729A" w:rsidRPr="002F729A">
        <w:rPr>
          <w:rStyle w:val="aff5"/>
          <w:i w:val="0"/>
          <w:iCs w:val="0"/>
        </w:rPr>
        <w:t>X</w:t>
      </w:r>
      <w:r w:rsidR="002F729A" w:rsidRPr="002F729A">
        <w:t>  и </w:t>
      </w:r>
      <w:r w:rsidR="002F729A" w:rsidRPr="002F729A">
        <w:rPr>
          <w:rStyle w:val="aff5"/>
          <w:i w:val="0"/>
          <w:iCs w:val="0"/>
        </w:rPr>
        <w:t>Y</w:t>
      </w:r>
      <w:r>
        <w:rPr>
          <w:rStyle w:val="aff5"/>
          <w:i w:val="0"/>
          <w:iCs w:val="0"/>
        </w:rPr>
        <w:t>.</w:t>
      </w:r>
    </w:p>
    <w:p w:rsidR="00BC0F66" w:rsidRPr="00BC0F66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p w:rsidR="00567948" w:rsidRPr="00DA03FC" w:rsidRDefault="00BC0F66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A03FC" w:rsidRPr="00DA03FC" w:rsidRDefault="00DA03FC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DA03FC" w:rsidRDefault="00DA03FC" w:rsidP="002F729A">
      <w:pPr>
        <w:pStyle w:val="af6"/>
        <w:rPr>
          <w:lang w:val="en-US"/>
        </w:rPr>
      </w:pPr>
    </w:p>
    <w:p w:rsidR="00DA03FC" w:rsidRDefault="00304697" w:rsidP="002F729A">
      <w:pPr>
        <w:pStyle w:val="af6"/>
      </w:pPr>
      <w:r>
        <w:lastRenderedPageBreak/>
        <w:t>Вычислим суммы:</w:t>
      </w:r>
    </w:p>
    <w:p w:rsidR="00304697" w:rsidRPr="0055425E" w:rsidRDefault="00304697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726</m:t>
          </m:r>
        </m:oMath>
      </m:oMathPara>
    </w:p>
    <w:p w:rsidR="00304697" w:rsidRPr="007B0C17" w:rsidRDefault="00304697" w:rsidP="002F729A">
      <w:pPr>
        <w:pStyle w:val="af6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691</m:t>
          </m:r>
        </m:oMath>
      </m:oMathPara>
    </w:p>
    <w:p w:rsidR="00304697" w:rsidRPr="00304697" w:rsidRDefault="00304697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44881,4</m:t>
          </m:r>
        </m:oMath>
      </m:oMathPara>
    </w:p>
    <w:p w:rsidR="00304697" w:rsidRPr="00304697" w:rsidRDefault="00304697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50300,78</m:t>
          </m:r>
        </m:oMath>
      </m:oMathPara>
    </w:p>
    <w:p w:rsidR="00304697" w:rsidRDefault="00065907" w:rsidP="00065907">
      <w:pPr>
        <w:pStyle w:val="af6"/>
        <w:rPr>
          <w:lang w:val="en-US"/>
        </w:rPr>
      </w:pPr>
      <w:r w:rsidRPr="00065907">
        <w:t>Используя эти суммы, вычислим коэффициенты:</w:t>
      </w:r>
    </w:p>
    <w:p w:rsidR="00065907" w:rsidRPr="007E57AC" w:rsidRDefault="00065907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12∙</m:t>
              </m:r>
              <m:r>
                <w:rPr>
                  <w:rFonts w:ascii="Cambria Math" w:hAnsi="Cambria Math"/>
                  <w:lang w:val="en-US"/>
                </w:rPr>
                <m:t>44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881,4</m:t>
              </m:r>
              <m:r>
                <w:rPr>
                  <w:rFonts w:ascii="Cambria Math" w:hAnsi="Cambria Math"/>
                  <w:lang w:val="en-US"/>
                </w:rPr>
                <m:t>-726∙691</m:t>
              </m:r>
            </m:num>
            <m:den>
              <m:r>
                <w:rPr>
                  <w:rFonts w:ascii="Cambria Math" w:hAnsi="Cambria Math"/>
                </w:rPr>
                <m:t>50300,78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0,482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E57AC" w:rsidRPr="00F56E58" w:rsidRDefault="007E57AC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691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0,482</m:t>
              </m:r>
              <m:r>
                <w:rPr>
                  <w:rFonts w:ascii="Cambria Math" w:hAnsi="Cambria Math"/>
                  <w:lang w:val="en-US"/>
                </w:rPr>
                <m:t>∙726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=28,4;</m:t>
          </m:r>
        </m:oMath>
      </m:oMathPara>
    </w:p>
    <w:p w:rsidR="00F56E58" w:rsidRDefault="00F56E58" w:rsidP="00F56E58">
      <w:pPr>
        <w:pStyle w:val="af6"/>
        <w:rPr>
          <w:lang w:val="en-US"/>
        </w:rPr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p w:rsidR="00F56E58" w:rsidRPr="001A61D1" w:rsidRDefault="00F56E58" w:rsidP="00F56E58">
      <w:pPr>
        <w:pStyle w:val="af6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=28,4+0,482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1A61D1" w:rsidRDefault="001A61D1" w:rsidP="00F56E58">
      <w:pPr>
        <w:pStyle w:val="af6"/>
        <w:rPr>
          <w:i/>
          <w:lang w:val="en-US"/>
        </w:rPr>
      </w:pPr>
      <w:r>
        <w:rPr>
          <w:noProof/>
        </w:rPr>
        <w:drawing>
          <wp:inline distT="0" distB="0" distL="0" distR="0" wp14:anchorId="47EDD460" wp14:editId="09F92F09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974D4" w:rsidRDefault="00A974D4" w:rsidP="002F729A">
      <w:pPr>
        <w:pStyle w:val="af6"/>
        <w:rPr>
          <w:highlight w:val="yellow"/>
        </w:rPr>
      </w:pPr>
    </w:p>
    <w:p w:rsidR="00A974D4" w:rsidRDefault="00A974D4" w:rsidP="002F729A">
      <w:pPr>
        <w:pStyle w:val="af6"/>
        <w:rPr>
          <w:highlight w:val="yellow"/>
        </w:rPr>
      </w:pPr>
    </w:p>
    <w:p w:rsidR="00A974D4" w:rsidRDefault="00A974D4" w:rsidP="002F729A">
      <w:pPr>
        <w:pStyle w:val="af6"/>
        <w:rPr>
          <w:highlight w:val="yellow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lastRenderedPageBreak/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p w:rsidR="00A974D4" w:rsidRPr="00211491" w:rsidRDefault="000E7BFF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211491" w:rsidRDefault="00211491" w:rsidP="002F729A">
      <w:pPr>
        <w:pStyle w:val="af6"/>
        <w:rPr>
          <w:highlight w:val="yellow"/>
          <w:lang w:val="en-US"/>
        </w:rPr>
      </w:pPr>
    </w:p>
    <w:p w:rsidR="0073716B" w:rsidRPr="00211491" w:rsidRDefault="0073716B" w:rsidP="002F729A">
      <w:pPr>
        <w:pStyle w:val="af6"/>
        <w:rPr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12∙</m:t>
              </m:r>
              <m:r>
                <w:rPr>
                  <w:rFonts w:ascii="Cambria Math" w:hAnsi="Cambria Math"/>
                </w:rPr>
                <m:t>44881,4</m:t>
              </m:r>
              <m:r>
                <w:rPr>
                  <w:rFonts w:ascii="Cambria Math" w:hAnsi="Cambria Math"/>
                </w:rPr>
                <m:t>-726∙691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</m:t>
                      </m:r>
                      <m:r>
                        <w:rPr>
                          <w:rFonts w:ascii="Cambria Math" w:hAnsi="Cambria Math"/>
                        </w:rPr>
                        <m:t>50300,78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726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</m:t>
                      </m:r>
                      <m:r>
                        <w:rPr>
                          <w:rFonts w:ascii="Cambria Math" w:hAnsi="Cambria Math"/>
                        </w:rPr>
                        <m:t>41750,84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0,8698</m:t>
          </m:r>
        </m:oMath>
      </m:oMathPara>
    </w:p>
    <w:p w:rsidR="000524CA" w:rsidRPr="00567948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0524CA" w:rsidRDefault="000524CA">
      <w:pPr>
        <w:ind w:firstLine="0"/>
        <w:jc w:val="left"/>
        <w:rPr>
          <w:sz w:val="28"/>
          <w:szCs w:val="28"/>
        </w:rPr>
      </w:pPr>
      <w:bookmarkStart w:id="0" w:name="_GoBack"/>
      <w:bookmarkEnd w:id="0"/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Pr="008D190D" w:rsidRDefault="008E12C1" w:rsidP="008E12C1">
      <w:pPr>
        <w:jc w:val="center"/>
        <w:rPr>
          <w:b/>
          <w:i/>
          <w:sz w:val="36"/>
          <w:szCs w:val="36"/>
        </w:rPr>
      </w:pPr>
      <w:r w:rsidRPr="008D190D">
        <w:rPr>
          <w:b/>
          <w:sz w:val="36"/>
          <w:szCs w:val="36"/>
        </w:rPr>
        <w:lastRenderedPageBreak/>
        <w:t>Задача 2</w:t>
      </w:r>
    </w:p>
    <w:p w:rsidR="008E12C1" w:rsidRPr="00CC458C" w:rsidRDefault="008E12C1" w:rsidP="008E12C1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"Множественная регрессия и корреляция"</w:t>
      </w:r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Численность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A904D6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1). Определите парные и частные коэффициенты корреляции. Сделайте выводы.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3). Проверьте значимость уравнения регрессии на 95% уровне.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8E12C1" w:rsidRDefault="008E12C1" w:rsidP="00782C54">
      <w:pPr>
        <w:rPr>
          <w:sz w:val="28"/>
          <w:szCs w:val="28"/>
        </w:rPr>
      </w:pPr>
    </w:p>
    <w:p w:rsidR="008E12C1" w:rsidRDefault="008E12C1" w:rsidP="00782C54">
      <w:pPr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A904D6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A904D6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A904D6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A904D6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A904D6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A904D6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30B7C">
          <w:headerReference w:type="default" r:id="rId17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8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86E" w:rsidRDefault="007D686E">
      <w:r>
        <w:separator/>
      </w:r>
    </w:p>
  </w:endnote>
  <w:endnote w:type="continuationSeparator" w:id="0">
    <w:p w:rsidR="007D686E" w:rsidRDefault="007D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86E" w:rsidRDefault="007D686E">
      <w:r>
        <w:separator/>
      </w:r>
    </w:p>
  </w:footnote>
  <w:footnote w:type="continuationSeparator" w:id="0">
    <w:p w:rsidR="007D686E" w:rsidRDefault="007D68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</w:pPr>
  </w:p>
  <w:p w:rsidR="004C5FCF" w:rsidRDefault="004C5FCF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  <w:jc w:val="right"/>
    </w:pPr>
  </w:p>
  <w:p w:rsidR="004C5FCF" w:rsidRDefault="004C5FCF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  <w:jc w:val="right"/>
    </w:pPr>
  </w:p>
  <w:p w:rsidR="004C5FCF" w:rsidRDefault="004C5FCF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b"/>
    </w:pPr>
  </w:p>
  <w:p w:rsidR="00542397" w:rsidRDefault="00542397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b"/>
      <w:jc w:val="right"/>
    </w:pPr>
  </w:p>
  <w:p w:rsidR="00007C67" w:rsidRDefault="00007C67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b"/>
      <w:jc w:val="right"/>
    </w:pPr>
  </w:p>
  <w:p w:rsidR="00123D60" w:rsidRDefault="00123D60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73716B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31E69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7C67"/>
    <w:rsid w:val="000100E9"/>
    <w:rsid w:val="00013940"/>
    <w:rsid w:val="0002046E"/>
    <w:rsid w:val="0002701A"/>
    <w:rsid w:val="0004011F"/>
    <w:rsid w:val="000524CA"/>
    <w:rsid w:val="0006307D"/>
    <w:rsid w:val="00063B2E"/>
    <w:rsid w:val="00063CCE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800FC"/>
    <w:rsid w:val="001A3EE1"/>
    <w:rsid w:val="001A42B3"/>
    <w:rsid w:val="001A61D1"/>
    <w:rsid w:val="001B1F8B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2F729A"/>
    <w:rsid w:val="0030381C"/>
    <w:rsid w:val="00304697"/>
    <w:rsid w:val="00310BF0"/>
    <w:rsid w:val="00330017"/>
    <w:rsid w:val="003306DD"/>
    <w:rsid w:val="00352696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1E6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25E"/>
    <w:rsid w:val="00554939"/>
    <w:rsid w:val="00557B47"/>
    <w:rsid w:val="0056166B"/>
    <w:rsid w:val="0056240C"/>
    <w:rsid w:val="00567948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D4604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D21C7"/>
    <w:rsid w:val="006E182F"/>
    <w:rsid w:val="006F0025"/>
    <w:rsid w:val="00720A4B"/>
    <w:rsid w:val="007220C5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1ED4"/>
    <w:rsid w:val="007922C8"/>
    <w:rsid w:val="00796B3D"/>
    <w:rsid w:val="00797071"/>
    <w:rsid w:val="007A6117"/>
    <w:rsid w:val="007A694E"/>
    <w:rsid w:val="007B0C17"/>
    <w:rsid w:val="007B2D09"/>
    <w:rsid w:val="007B75CF"/>
    <w:rsid w:val="007B7E13"/>
    <w:rsid w:val="007C4DC3"/>
    <w:rsid w:val="007D686E"/>
    <w:rsid w:val="007E0BFA"/>
    <w:rsid w:val="007E2B2A"/>
    <w:rsid w:val="007E57AC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6084"/>
    <w:rsid w:val="00870AC3"/>
    <w:rsid w:val="00886E4C"/>
    <w:rsid w:val="00887C19"/>
    <w:rsid w:val="008A032B"/>
    <w:rsid w:val="008A7EDC"/>
    <w:rsid w:val="008B04C5"/>
    <w:rsid w:val="008B4824"/>
    <w:rsid w:val="008C1BFC"/>
    <w:rsid w:val="008C1C84"/>
    <w:rsid w:val="008D039C"/>
    <w:rsid w:val="008D2A54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7456"/>
    <w:rsid w:val="0094562C"/>
    <w:rsid w:val="00952A39"/>
    <w:rsid w:val="00984473"/>
    <w:rsid w:val="00991ABD"/>
    <w:rsid w:val="009A25EE"/>
    <w:rsid w:val="009A34D2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82F9F"/>
    <w:rsid w:val="00A95F4A"/>
    <w:rsid w:val="00A974D4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23EA0"/>
    <w:rsid w:val="00B3435C"/>
    <w:rsid w:val="00B40228"/>
    <w:rsid w:val="00B45CFE"/>
    <w:rsid w:val="00B604E2"/>
    <w:rsid w:val="00B6175C"/>
    <w:rsid w:val="00B9180C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748"/>
    <w:rsid w:val="00C94F1B"/>
    <w:rsid w:val="00CA1966"/>
    <w:rsid w:val="00CA367C"/>
    <w:rsid w:val="00CA544D"/>
    <w:rsid w:val="00CC1941"/>
    <w:rsid w:val="00CC3CF2"/>
    <w:rsid w:val="00CC4BB5"/>
    <w:rsid w:val="00CC531D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03FC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17C80"/>
    <w:rsid w:val="00E23996"/>
    <w:rsid w:val="00E30892"/>
    <w:rsid w:val="00E53980"/>
    <w:rsid w:val="00E81F69"/>
    <w:rsid w:val="00E82641"/>
    <w:rsid w:val="00E84E27"/>
    <w:rsid w:val="00E94541"/>
    <w:rsid w:val="00EA758C"/>
    <w:rsid w:val="00EA7AF3"/>
    <w:rsid w:val="00EB48F5"/>
    <w:rsid w:val="00EB6D4B"/>
    <w:rsid w:val="00EE3235"/>
    <w:rsid w:val="00EE3CCE"/>
    <w:rsid w:val="00EE3EEE"/>
    <w:rsid w:val="00F176E2"/>
    <w:rsid w:val="00F26A82"/>
    <w:rsid w:val="00F32D9C"/>
    <w:rsid w:val="00F42340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856512"/>
        <c:axId val="287858048"/>
      </c:scatterChart>
      <c:valAx>
        <c:axId val="287856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7858048"/>
        <c:crosses val="autoZero"/>
        <c:crossBetween val="midCat"/>
      </c:valAx>
      <c:valAx>
        <c:axId val="287858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8565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48.402999999999999</c:v>
                </c:pt>
                <c:pt idx="1">
                  <c:v>42.667200000000001</c:v>
                </c:pt>
                <c:pt idx="2">
                  <c:v>43.727599999999995</c:v>
                </c:pt>
                <c:pt idx="3">
                  <c:v>62.043599999999998</c:v>
                </c:pt>
                <c:pt idx="4">
                  <c:v>76.840999999999994</c:v>
                </c:pt>
                <c:pt idx="5">
                  <c:v>73.370599999999996</c:v>
                </c:pt>
                <c:pt idx="6">
                  <c:v>67.972199999999987</c:v>
                </c:pt>
                <c:pt idx="7">
                  <c:v>65.706800000000001</c:v>
                </c:pt>
                <c:pt idx="8">
                  <c:v>55.247399999999999</c:v>
                </c:pt>
                <c:pt idx="9">
                  <c:v>47.149799999999999</c:v>
                </c:pt>
                <c:pt idx="10">
                  <c:v>50.186399999999999</c:v>
                </c:pt>
                <c:pt idx="11">
                  <c:v>57.416399999999996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68928"/>
        <c:axId val="295702528"/>
      </c:scatterChart>
      <c:valAx>
        <c:axId val="294668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5702528"/>
        <c:crosses val="autoZero"/>
        <c:crossBetween val="midCat"/>
      </c:valAx>
      <c:valAx>
        <c:axId val="295702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46689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A4F1E-4EAA-45E7-9FF9-6FA75AE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303</TotalTime>
  <Pages>11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5452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28</cp:revision>
  <cp:lastPrinted>2013-01-11T04:01:00Z</cp:lastPrinted>
  <dcterms:created xsi:type="dcterms:W3CDTF">2021-10-13T14:09:00Z</dcterms:created>
  <dcterms:modified xsi:type="dcterms:W3CDTF">2021-10-14T10:22:00Z</dcterms:modified>
</cp:coreProperties>
</file>