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1559626" cy="32992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626" cy="329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93998" cy="4157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998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63981" cy="8043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981" cy="804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set of Linux‐based servers, each equipped with at least 4 vCPUs and 16 GB of RAM, will host the web application and related services.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Solid‑state drives arranged in RAID 1 will provide fast, fault‑tolerant storage for the database.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dedicated network firewall (physical or virtual) must protect internal traffic and enforce access rules.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End users will need modern desktops, laptops, tablets, or smartphones running up‑to‑date browsers (Chrome, Firefox, Safari, Edge).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client interface will use a JavaScript framework in the browser and communicate over HTTPS.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server‑side component will expose RESTful APIs in a statically typed language or popular server‑side JavaScript runtime.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PostgreSQL will be the primary relational database, storing users, reservations, lesson records, and test results.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Nginx will act as a reverse proxy, handling SSL/TLS termination and forwarding requests to application servers.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&amp; Deployment Tools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 will manage source code with a shared remote repository that supports pull requests and code reviews.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continuous integration/delivery pipeline will automatically build, run tests, and deploy new releases when merging with the main branch.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 issue‐tracking system will log feature requests, bugs, and support tickets for the team to triage.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Monitoring and alerting tools will continuously check server health metrics (CPU, memory, response time) and notify staff of critical conditions.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Requirements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services will run in a cloud environment capable of auto‑scaling and multi‑region failover for high availability.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load balancer will distribute incoming traffic across multiple application servers to keep performance steady under heavy use.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content delivery network will cache static assets (images, scripts, stylesheets) at edge locations to improve page load times.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backup routines with point‑in‑time recovery will protect the database and enable fast restoration after data loss.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6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