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9.png" ContentType="image/png"/>
  <Override PartName="/word/media/rId4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2</w:t>
      </w:r>
    </w:p>
    <w:p>
      <w:pPr>
        <w:pStyle w:val="Subtitle"/>
      </w:pPr>
      <w:r>
        <w:t xml:space="preserve">Электрический пробой</w:t>
      </w:r>
    </w:p>
    <w:p>
      <w:pPr>
        <w:pStyle w:val="Author"/>
      </w:pPr>
      <w:r>
        <w:t xml:space="preserve">Дымченко Д.Ю.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60" w:name="этап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Этап 2</w:t>
      </w:r>
    </w:p>
    <w:bookmarkStart w:id="20" w:name="докладчик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Докладчики</w:t>
      </w:r>
    </w:p>
    <w:p>
      <w:pPr>
        <w:pStyle w:val="Compact"/>
        <w:numPr>
          <w:ilvl w:val="0"/>
          <w:numId w:val="1001"/>
        </w:numPr>
      </w:pPr>
      <w:r>
        <w:t xml:space="preserve">Амуничников Антон Игоревич</w:t>
      </w:r>
    </w:p>
    <w:p>
      <w:pPr>
        <w:pStyle w:val="Compact"/>
        <w:numPr>
          <w:ilvl w:val="0"/>
          <w:numId w:val="1001"/>
        </w:numPr>
      </w:pPr>
      <w:r>
        <w:t xml:space="preserve">Леснухин Даниил Дмитриевич</w:t>
      </w:r>
    </w:p>
    <w:p>
      <w:pPr>
        <w:pStyle w:val="Compact"/>
        <w:numPr>
          <w:ilvl w:val="0"/>
          <w:numId w:val="1001"/>
        </w:numPr>
      </w:pPr>
      <w:r>
        <w:t xml:space="preserve">Майзингер Эллина Сергеевна</w:t>
      </w:r>
    </w:p>
    <w:p>
      <w:pPr>
        <w:pStyle w:val="Compact"/>
        <w:numPr>
          <w:ilvl w:val="0"/>
          <w:numId w:val="1001"/>
        </w:numPr>
      </w:pPr>
      <w:r>
        <w:t xml:space="preserve">Дымченко Дмитрий Юрьевич</w:t>
      </w:r>
    </w:p>
    <w:p>
      <w:pPr>
        <w:pStyle w:val="Compact"/>
        <w:numPr>
          <w:ilvl w:val="0"/>
          <w:numId w:val="1001"/>
        </w:numPr>
      </w:pPr>
      <w:r>
        <w:t xml:space="preserve">Матюхин Павел Андреевич</w:t>
      </w:r>
    </w:p>
    <w:p>
      <w:pPr>
        <w:pStyle w:val="Compact"/>
        <w:numPr>
          <w:ilvl w:val="0"/>
          <w:numId w:val="1001"/>
        </w:numPr>
      </w:pPr>
      <w:r>
        <w:t xml:space="preserve">Понамарев Алексей Михайлович</w:t>
      </w:r>
    </w:p>
    <w:p>
      <w:r>
        <w:pict>
          <v:rect style="width:0;height:1.5pt" o:hralign="center" o:hrstd="t" o:hr="t"/>
        </w:pict>
      </w:r>
    </w:p>
    <w:bookmarkEnd w:id="20"/>
    <w:bookmarkStart w:id="21" w:name="содержа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Содержание</w:t>
      </w:r>
    </w:p>
    <w:p>
      <w:pPr>
        <w:pStyle w:val="Compact"/>
        <w:numPr>
          <w:ilvl w:val="0"/>
          <w:numId w:val="1002"/>
        </w:numPr>
      </w:pPr>
      <w:r>
        <w:t xml:space="preserve">Введение</w:t>
      </w:r>
    </w:p>
    <w:p>
      <w:pPr>
        <w:pStyle w:val="Compact"/>
        <w:numPr>
          <w:ilvl w:val="0"/>
          <w:numId w:val="1002"/>
        </w:numPr>
      </w:pPr>
      <w:r>
        <w:t xml:space="preserve">Выбор подхода к моделированию</w:t>
      </w:r>
    </w:p>
    <w:p>
      <w:pPr>
        <w:pStyle w:val="Compact"/>
        <w:numPr>
          <w:ilvl w:val="0"/>
          <w:numId w:val="1002"/>
        </w:numPr>
      </w:pPr>
      <w:r>
        <w:t xml:space="preserve">Алгоритм моделирования пробоя</w:t>
      </w:r>
    </w:p>
    <w:p>
      <w:pPr>
        <w:pStyle w:val="Compact"/>
        <w:numPr>
          <w:ilvl w:val="0"/>
          <w:numId w:val="1002"/>
        </w:numPr>
      </w:pPr>
      <w:r>
        <w:t xml:space="preserve">Инструменты и коды</w:t>
      </w:r>
    </w:p>
    <w:p>
      <w:pPr>
        <w:pStyle w:val="Compact"/>
        <w:numPr>
          <w:ilvl w:val="0"/>
          <w:numId w:val="1002"/>
        </w:numPr>
      </w:pPr>
      <w:r>
        <w:t xml:space="preserve">Дополнительные исследования</w:t>
      </w:r>
    </w:p>
    <w:p>
      <w:pPr>
        <w:pStyle w:val="Compact"/>
        <w:numPr>
          <w:ilvl w:val="0"/>
          <w:numId w:val="1002"/>
        </w:numPr>
      </w:pPr>
      <w:r>
        <w:t xml:space="preserve">Выводы</w:t>
      </w:r>
    </w:p>
    <w:p>
      <w:pPr>
        <w:pStyle w:val="Compact"/>
        <w:numPr>
          <w:ilvl w:val="0"/>
          <w:numId w:val="1002"/>
        </w:numPr>
      </w:pPr>
      <w:r>
        <w:t xml:space="preserve">Список литературы</w:t>
      </w:r>
    </w:p>
    <w:p>
      <w:r>
        <w:pict>
          <v:rect style="width:0;height:1.5pt" o:hralign="center" o:hrstd="t" o:hr="t"/>
        </w:pict>
      </w:r>
    </w:p>
    <w:bookmarkEnd w:id="21"/>
    <w:bookmarkStart w:id="26" w:name="введение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Введение</w:t>
      </w:r>
    </w:p>
    <w:bookmarkStart w:id="22" w:name="актуальность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Надёжная оценка распределения электрического поля и критических условий пробоя является ключевым аспектом при проектировании изоляционных систем, выборе материалов, а также обеспечении электробезопасности и надёжности устройств. Особую актуальность данное направление приобретает в приложениях, где присутствует сложная геометрия электродов или неоднородные диэлектрические среды. В таких случаях аналитические методы оказываются недостаточными, и требуется использование численного моделирования — в частности, методов конечных элементов (FEM) и других подходов, способных точно воспроизводить реальные условия. Кроме того, развитие концепции «цифрового двойника» в инженерных задачах требует высокой точности и воспроизводимости моделей электрического пробоя.</w:t>
      </w:r>
    </w:p>
    <w:p>
      <w:pPr>
        <w:pStyle w:val="BodyText"/>
      </w:pPr>
      <w:r>
        <w:t xml:space="preserve">Также важным фактором является переход от эмпирических моделей (например, кривой Пашена) к более универсальным физически обоснованным методам, которые позволяют учитывать пространственную неоднородность, временную динамику и взаимодействие с материалами.</w:t>
      </w:r>
    </w:p>
    <w:bookmarkEnd w:id="22"/>
    <w:bookmarkStart w:id="23" w:name="объект-и-предмет-исследования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Объект и предмет исследования</w:t>
      </w:r>
    </w:p>
    <w:p>
      <w:pPr>
        <w:pStyle w:val="Compact"/>
        <w:numPr>
          <w:ilvl w:val="0"/>
          <w:numId w:val="1003"/>
        </w:numPr>
      </w:pPr>
      <w:r>
        <w:t xml:space="preserve">Процесс электрического пробоя в диэлектрической среде при наличии неоднородного электрического поля.</w:t>
      </w:r>
    </w:p>
    <w:p>
      <w:pPr>
        <w:pStyle w:val="Compact"/>
        <w:numPr>
          <w:ilvl w:val="0"/>
          <w:numId w:val="1003"/>
        </w:numPr>
      </w:pPr>
      <w:r>
        <w:t xml:space="preserve">Методы численного моделирования электрического поля и условий пробоя в системах с различной геометрией электродов и граничными условиями.</w:t>
      </w:r>
    </w:p>
    <w:bookmarkEnd w:id="23"/>
    <w:bookmarkStart w:id="24" w:name="цель-работы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настоящего исследования является и анализ численных методов моделирования электрического пробоя в неоднородных электрических полях с учётом геометрии электродов, граничных условий и критических параметров среды.</w:t>
      </w:r>
    </w:p>
    <w:bookmarkEnd w:id="24"/>
    <w:bookmarkStart w:id="25" w:name="задачи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4"/>
        </w:numPr>
      </w:pPr>
      <w:r>
        <w:t xml:space="preserve">Рассмотреть основные способы моделирования пробоя</w:t>
      </w:r>
    </w:p>
    <w:p>
      <w:pPr>
        <w:pStyle w:val="Compact"/>
        <w:numPr>
          <w:ilvl w:val="0"/>
          <w:numId w:val="1004"/>
        </w:numPr>
      </w:pPr>
      <w:r>
        <w:t xml:space="preserve">Составить математическую модель для расчёта электрического поля.</w:t>
      </w:r>
    </w:p>
    <w:p>
      <w:pPr>
        <w:pStyle w:val="Compact"/>
        <w:numPr>
          <w:ilvl w:val="0"/>
          <w:numId w:val="1004"/>
        </w:numPr>
      </w:pPr>
      <w:r>
        <w:t xml:space="preserve">Настроить численное моделирование с помощью разных алгоритмов.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выбор-подхода-к-моделированию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Выбор подхода к моделированию</w:t>
      </w:r>
    </w:p>
    <w:p>
      <w:pPr>
        <w:pStyle w:val="FirstParagraph"/>
      </w:pPr>
      <w:r>
        <w:t xml:space="preserve">Электрический пробой можно описывать разными методами в зависимости от: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Среды</w:t>
      </w:r>
      <w:r>
        <w:t xml:space="preserve"> </w:t>
      </w:r>
      <w:r>
        <w:t xml:space="preserve">(газ, жидкость, твёрдый диэлектрик),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Точности</w:t>
      </w:r>
      <w:r>
        <w:t xml:space="preserve"> </w:t>
      </w:r>
      <w:r>
        <w:t xml:space="preserve">(простая аналитическая модель или сложное численное моделирование),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Цели</w:t>
      </w:r>
      <w:r>
        <w:t xml:space="preserve"> </w:t>
      </w:r>
      <w:r>
        <w:t xml:space="preserve">(расчёт пробивного напряжения, визуализация процесса, исследование динамики).</w:t>
      </w:r>
    </w:p>
    <w:bookmarkStart w:id="28" w:name="аналитические-модели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Аналитические модели</w:t>
      </w:r>
    </w:p>
    <w:p>
      <w:pPr>
        <w:pStyle w:val="FirstParagraph"/>
      </w:pPr>
      <w:r>
        <w:rPr>
          <w:b/>
          <w:bCs/>
        </w:rPr>
        <w:t xml:space="preserve">Подходят</w:t>
      </w:r>
      <w:r>
        <w:t xml:space="preserve">, если нужно быстро оценить параметры пробоя без детального рассмотрения физики.</w:t>
      </w:r>
    </w:p>
    <w:bookmarkStart w:id="27" w:name="закон-пашена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Закон Пашена</w:t>
      </w:r>
    </w:p>
    <w:p>
      <w:pPr>
        <w:pStyle w:val="FirstParagraph"/>
      </w:pPr>
      <w:r>
        <w:t xml:space="preserve">Применяется для</w:t>
      </w:r>
      <w:r>
        <w:t xml:space="preserve"> </w:t>
      </w:r>
      <w:r>
        <w:rPr>
          <w:b/>
          <w:bCs/>
        </w:rPr>
        <w:t xml:space="preserve">газовых разрядов</w:t>
      </w:r>
      <w:r>
        <w:t xml:space="preserve"> </w:t>
      </w:r>
      <w:r>
        <w:t xml:space="preserve">(например, искровой пробой в воздухе).</w:t>
      </w:r>
    </w:p>
    <w:p>
      <w:pPr>
        <w:pStyle w:val="BodyText"/>
      </w:pPr>
      <w:r>
        <w:t xml:space="preserve">Формула Пашена: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пробоя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⋅</m:t>
              </m:r>
              <m:r>
                <m:t>p</m:t>
              </m:r>
              <m:r>
                <m:rPr>
                  <m:sty m:val="p"/>
                </m:rPr>
                <m:t>⋅</m:t>
              </m:r>
              <m:r>
                <m:t>d</m:t>
              </m:r>
            </m:num>
            <m:den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p</m:t>
                  </m:r>
                  <m:r>
                    <m:rPr>
                      <m:sty m:val="p"/>
                    </m:rPr>
                    <m:t>⋅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 ( p ) – давление газа,</w:t>
      </w:r>
      <w:r>
        <w:br/>
      </w:r>
      <w:r>
        <w:t xml:space="preserve">- ( d ) – расстояние между электродами,</w:t>
      </w:r>
      <w:r>
        <w:br/>
      </w:r>
      <w:r>
        <w:t xml:space="preserve">- ( A, B ) – эмпирические коэффициенты,</w:t>
      </w:r>
      <w:r>
        <w:br/>
      </w:r>
      <w:r>
        <w:t xml:space="preserve">- (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) – коэффициент вторичной эмиссии.</w:t>
      </w:r>
    </w:p>
    <w:p>
      <w:pPr>
        <w:pStyle w:val="BodyText"/>
      </w:pPr>
      <w:r>
        <w:rPr>
          <w:b/>
          <w:bCs/>
        </w:rPr>
        <w:t xml:space="preserve">Пример для воздуха:</w:t>
      </w:r>
      <w:r>
        <w:t xml:space="preserve"> </w:t>
      </w:r>
      <w:r>
        <w:t xml:space="preserve">A ≈</w:t>
      </w:r>
      <w:r>
        <w:t xml:space="preserve"> </w:t>
      </w:r>
      <m:oMath>
        <m:r>
          <m:t>15</m:t>
        </m:r>
        <m:r>
          <m:t> </m:t>
        </m:r>
        <m:sSup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sSup>
          <m:e>
            <m:r>
              <m:rPr>
                <m:sty m:val="p"/>
              </m:rPr>
              <m:t>P</m:t>
            </m:r>
            <m:r>
              <m:rPr>
                <m:sty m:val="p"/>
              </m:rP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br/>
      </w:r>
      <w:r>
        <w:t xml:space="preserve">B ≈</w:t>
      </w:r>
      <w:r>
        <w:t xml:space="preserve"> </w:t>
      </w:r>
      <m:oMath>
        <m:f>
          <m:fPr>
            <m:type m:val="bar"/>
          </m:fPr>
          <m:num>
            <m:r>
              <m:t>365</m:t>
            </m:r>
            <m:r>
              <m:t> </m:t>
            </m:r>
            <m:r>
              <m:rPr>
                <m:sty m:val="p"/>
              </m:rPr>
              <m:t>V</m:t>
            </m:r>
          </m:num>
          <m:den>
            <m:r>
              <m:rPr>
                <m:sty m:val="p"/>
              </m:rPr>
              <m:t>m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a</m:t>
            </m:r>
          </m:den>
        </m:f>
      </m:oMath>
    </w:p>
    <w:p>
      <w:pPr>
        <w:pStyle w:val="BodyText"/>
      </w:pPr>
      <w:r>
        <w:rPr>
          <w:b/>
          <w:bCs/>
        </w:rPr>
        <w:t xml:space="preserve">Когда можно использовать?</w:t>
      </w:r>
    </w:p>
    <w:p>
      <w:pPr>
        <w:pStyle w:val="Compact"/>
        <w:numPr>
          <w:ilvl w:val="0"/>
          <w:numId w:val="1006"/>
        </w:numPr>
      </w:pPr>
      <w:r>
        <w:t xml:space="preserve">Для оценки пробивного напряжения в однородном поле.</w:t>
      </w:r>
    </w:p>
    <w:p>
      <w:pPr>
        <w:pStyle w:val="Compact"/>
        <w:numPr>
          <w:ilvl w:val="0"/>
          <w:numId w:val="1006"/>
        </w:numPr>
      </w:pPr>
      <w:r>
        <w:t xml:space="preserve">Если не нужна детальная динамика процесса.</w:t>
      </w:r>
    </w:p>
    <w:bookmarkEnd w:id="27"/>
    <w:bookmarkEnd w:id="28"/>
    <w:bookmarkStart w:id="30" w:name="численные-методы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Численные методы</w:t>
      </w:r>
    </w:p>
    <w:p>
      <w:pPr>
        <w:pStyle w:val="FirstParagraph"/>
      </w:pPr>
      <w:r>
        <w:rPr>
          <w:b/>
          <w:bCs/>
        </w:rPr>
        <w:t xml:space="preserve">Нужны</w:t>
      </w:r>
      <w:r>
        <w:t xml:space="preserve">, если требуется смоделировать</w:t>
      </w:r>
      <w:r>
        <w:t xml:space="preserve"> </w:t>
      </w:r>
      <w:r>
        <w:rPr>
          <w:b/>
          <w:bCs/>
        </w:rPr>
        <w:t xml:space="preserve">распределение поля, зарождение стримеров, неоднородные поля</w:t>
      </w:r>
      <w:r>
        <w:t xml:space="preserve">.</w:t>
      </w:r>
    </w:p>
    <w:bookmarkStart w:id="29" w:name="метод-конечных-элементов-fem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Метод конечных элементов (FEM)</w:t>
      </w:r>
    </w:p>
    <w:p>
      <w:pPr>
        <w:pStyle w:val="FirstParagraph"/>
      </w:pPr>
      <w:r>
        <w:rPr>
          <w:b/>
          <w:bCs/>
        </w:rPr>
        <w:t xml:space="preserve">Для чего необходим?</w:t>
      </w:r>
    </w:p>
    <w:p>
      <w:pPr>
        <w:pStyle w:val="Compact"/>
        <w:numPr>
          <w:ilvl w:val="0"/>
          <w:numId w:val="1007"/>
        </w:numPr>
      </w:pPr>
      <w:r>
        <w:t xml:space="preserve">Расчёт распределения электрического поля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ϕ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Учёт сложной геометрии электродов.</w:t>
      </w:r>
    </w:p>
    <w:p>
      <w:pPr>
        <w:pStyle w:val="FirstParagraph"/>
      </w:pPr>
      <w:r>
        <w:rPr>
          <w:b/>
          <w:bCs/>
        </w:rPr>
        <w:t xml:space="preserve">Шаги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Решить уравнение Пуассона: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ϕ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ρ</m:t>
              </m:r>
            </m:num>
            <m:den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numPr>
          <w:ilvl w:val="0"/>
          <w:numId w:val="1008"/>
        </w:numPr>
      </w:pPr>
      <w:r>
        <w:t xml:space="preserve">Добавить условия на границах (например,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t>U</m:t>
        </m:r>
      </m:oMath>
      <w:r>
        <w:t xml:space="preserve"> </w:t>
      </w:r>
      <w:r>
        <w:t xml:space="preserve">на катоде,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на аноде).</w:t>
      </w:r>
    </w:p>
    <w:p>
      <w:pPr>
        <w:numPr>
          <w:ilvl w:val="0"/>
          <w:numId w:val="1008"/>
        </w:numPr>
      </w:pPr>
      <w:r>
        <w:t xml:space="preserve">Найти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</m:oMath>
      <w:r>
        <w:t xml:space="preserve"> </w:t>
      </w:r>
      <w:r>
        <w:t xml:space="preserve">и проверить, где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⃗"/>
              </m:accPr>
              <m:e>
                <m:r>
                  <m:t>E</m:t>
                </m:r>
              </m:e>
            </m:acc>
          </m:e>
        </m:d>
      </m:oMath>
      <w:r>
        <w:t xml:space="preserve"> </w:t>
      </w:r>
      <w:r>
        <w:t xml:space="preserve">превышает критическое значение</w:t>
      </w:r>
      <w:r>
        <w:t xml:space="preserve"> </w:t>
      </w:r>
      <m:oMath>
        <m:sSub>
          <m:e>
            <m:r>
              <m:t>E</m:t>
            </m:r>
          </m:e>
          <m:sub>
            <m:r>
              <m:rPr>
                <m:nor/>
                <m:sty m:val="p"/>
              </m:rPr>
              <m:t>крит</m:t>
            </m:r>
          </m:sub>
        </m:sSub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Инструменты</w:t>
      </w:r>
      <w:r>
        <w:t xml:space="preserve">: COMSOL, ANSYS, FEniCS (Python)</w:t>
      </w:r>
    </w:p>
    <w:bookmarkEnd w:id="29"/>
    <w:bookmarkEnd w:id="30"/>
    <w:bookmarkStart w:id="31" w:name="particle-in-cell-pic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Particle-in-Cell (PIC)</w:t>
      </w:r>
    </w:p>
    <w:p>
      <w:pPr>
        <w:pStyle w:val="FirstParagraph"/>
      </w:pPr>
      <w:r>
        <w:rPr>
          <w:b/>
          <w:bCs/>
        </w:rPr>
        <w:t xml:space="preserve">Для чего?</w:t>
      </w:r>
    </w:p>
    <w:p>
      <w:pPr>
        <w:pStyle w:val="Compact"/>
        <w:numPr>
          <w:ilvl w:val="0"/>
          <w:numId w:val="1009"/>
        </w:numPr>
      </w:pPr>
      <w:r>
        <w:t xml:space="preserve">Моделирование движения заряженных частиц (электронов, ионов) в самосогласованном поле.</w:t>
      </w:r>
    </w:p>
    <w:p>
      <w:pPr>
        <w:pStyle w:val="FirstParagraph"/>
      </w:pPr>
      <w:r>
        <w:rPr>
          <w:b/>
          <w:bCs/>
        </w:rPr>
        <w:t xml:space="preserve">Алгоритм:</w:t>
      </w:r>
    </w:p>
    <w:p>
      <w:pPr>
        <w:numPr>
          <w:ilvl w:val="0"/>
          <w:numId w:val="1010"/>
        </w:numPr>
      </w:pPr>
      <w:r>
        <w:t xml:space="preserve">Разбить область на сетку.</w:t>
      </w:r>
    </w:p>
    <w:p>
      <w:pPr>
        <w:numPr>
          <w:ilvl w:val="0"/>
          <w:numId w:val="1010"/>
        </w:numPr>
      </w:pPr>
      <w:r>
        <w:t xml:space="preserve">На каждом шаге:</w:t>
      </w:r>
    </w:p>
    <w:p>
      <w:pPr>
        <w:pStyle w:val="Compact"/>
        <w:numPr>
          <w:ilvl w:val="0"/>
          <w:numId w:val="1011"/>
        </w:numPr>
      </w:pPr>
      <w:r>
        <w:t xml:space="preserve">Рассчитать поле на сетке.</w:t>
      </w:r>
    </w:p>
    <w:p>
      <w:pPr>
        <w:pStyle w:val="Compact"/>
        <w:numPr>
          <w:ilvl w:val="0"/>
          <w:numId w:val="1011"/>
        </w:numPr>
      </w:pPr>
      <w:r>
        <w:t xml:space="preserve">Переместить частицы в этом поле.</w:t>
      </w:r>
    </w:p>
    <w:p>
      <w:pPr>
        <w:pStyle w:val="Compact"/>
        <w:numPr>
          <w:ilvl w:val="0"/>
          <w:numId w:val="1011"/>
        </w:numPr>
      </w:pPr>
      <w:r>
        <w:t xml:space="preserve">Учесть столкновения и ионизацию.</w:t>
      </w:r>
    </w:p>
    <w:bookmarkEnd w:id="31"/>
    <w:bookmarkEnd w:id="32"/>
    <w:bookmarkStart w:id="33" w:name="Xfa95a49a097fbdf8b52135e76682ccf8ebe9982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rPr>
          <w:b/>
          <w:bCs/>
        </w:rPr>
        <w:t xml:space="preserve">Инструменты</w:t>
      </w:r>
      <w:r>
        <w:t xml:space="preserve">: KARAT, COMSOL Plasma Module, VPIC.</w:t>
      </w:r>
    </w:p>
    <w:bookmarkEnd w:id="33"/>
    <w:bookmarkStart w:id="44" w:name="алгоритм-моделирования-пробоя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3. Алгоритм моделирования пробоя</w:t>
      </w:r>
    </w:p>
    <w:p>
      <w:pPr>
        <w:pStyle w:val="FirstParagraph"/>
      </w:pPr>
      <w:r>
        <w:t xml:space="preserve">Рассмотрим</w:t>
      </w:r>
      <w:r>
        <w:t xml:space="preserve"> </w:t>
      </w:r>
      <w:r>
        <w:rPr>
          <w:b/>
          <w:bCs/>
        </w:rPr>
        <w:t xml:space="preserve">газовый пробой</w:t>
      </w:r>
      <w:r>
        <w:t xml:space="preserve"> </w:t>
      </w:r>
      <w:r>
        <w:t xml:space="preserve">(например, в воздухе) с использованием</w:t>
      </w:r>
      <w:r>
        <w:t xml:space="preserve"> </w:t>
      </w:r>
      <w:r>
        <w:rPr>
          <w:b/>
          <w:bCs/>
        </w:rPr>
        <w:t xml:space="preserve">уравнения Таунсенда</w:t>
      </w:r>
      <w:r>
        <w:t xml:space="preserve">.</w:t>
      </w:r>
    </w:p>
    <w:bookmarkStart w:id="38" w:name="входные-параметры-рис.--fig001.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Входные параметры (рис. 1).</w:t>
      </w:r>
    </w:p>
    <w:bookmarkStart w:id="37" w:name="fig:001"/>
    <w:p>
      <w:pPr>
        <w:pStyle w:val="CaptionedFigure"/>
      </w:pPr>
      <w:r>
        <w:drawing>
          <wp:inline>
            <wp:extent cx="3733800" cy="2016491"/>
            <wp:effectExtent b="0" l="0" r="0" t="0"/>
            <wp:docPr descr="Рис. 1: Входные параметр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Входные параметры</w:t>
      </w:r>
    </w:p>
    <w:bookmarkEnd w:id="37"/>
    <w:bookmarkEnd w:id="38"/>
    <w:bookmarkStart w:id="43" w:name="пошаговый-алгоритм-рис.--fig002.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Пошаговый алгоритм (рис. 2).</w:t>
      </w:r>
    </w:p>
    <w:bookmarkStart w:id="42" w:name="fig:002"/>
    <w:p>
      <w:pPr>
        <w:pStyle w:val="CaptionedFigure"/>
      </w:pPr>
      <w:r>
        <w:drawing>
          <wp:inline>
            <wp:extent cx="3733800" cy="2321657"/>
            <wp:effectExtent b="0" l="0" r="0" t="0"/>
            <wp:docPr descr="Рис. 2: Пошаговый алгоритм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Пошаговый алгоритм</w:t>
      </w:r>
    </w:p>
    <w:bookmarkEnd w:id="42"/>
    <w:p>
      <w:pPr>
        <w:pStyle w:val="BodyText"/>
      </w:pPr>
      <w:r>
        <w:rPr>
          <w:b/>
          <w:bCs/>
        </w:rPr>
        <w:t xml:space="preserve">Шаг 2. Численное моделирование (если нужно)</w:t>
      </w:r>
    </w:p>
    <w:p>
      <w:pPr>
        <w:pStyle w:val="BodyText"/>
      </w:pPr>
      <w:r>
        <w:t xml:space="preserve">Если поле неоднородное, используем</w:t>
      </w:r>
      <w:r>
        <w:t xml:space="preserve"> </w:t>
      </w:r>
      <w:r>
        <w:rPr>
          <w:b/>
          <w:bCs/>
        </w:rPr>
        <w:t xml:space="preserve">FEM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Задать геометрию (например, игла–плоскость).</w:t>
      </w:r>
    </w:p>
    <w:p>
      <w:pPr>
        <w:pStyle w:val="Compact"/>
        <w:numPr>
          <w:ilvl w:val="0"/>
          <w:numId w:val="1012"/>
        </w:numPr>
      </w:pPr>
      <w:r>
        <w:t xml:space="preserve">Решить уравнение Пуассона.</w:t>
      </w:r>
    </w:p>
    <w:p>
      <w:pPr>
        <w:pStyle w:val="Compact"/>
        <w:numPr>
          <w:ilvl w:val="0"/>
          <w:numId w:val="1012"/>
        </w:numPr>
      </w:pPr>
      <w:r>
        <w:t xml:space="preserve">Найти области, где</w:t>
      </w:r>
      <w:r>
        <w:t xml:space="preserve"> </w:t>
      </w:r>
      <m:oMath>
        <m:r>
          <m:t>E</m:t>
        </m:r>
        <m:r>
          <m:rPr>
            <m:sty m:val="p"/>
          </m:rPr>
          <m:t>&gt;</m:t>
        </m:r>
        <m:sSub>
          <m:e>
            <m:r>
              <m:t>E</m:t>
            </m:r>
          </m:e>
          <m:sub>
            <m:r>
              <m:rPr>
                <m:nor/>
                <m:sty m:val="p"/>
              </m:rPr>
              <m:t>крит</m:t>
            </m:r>
          </m:sub>
        </m:sSub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Шаг 3. Визуализация</w:t>
      </w:r>
    </w:p>
    <w:p>
      <w:pPr>
        <w:pStyle w:val="Compact"/>
        <w:numPr>
          <w:ilvl w:val="0"/>
          <w:numId w:val="1013"/>
        </w:numPr>
      </w:pPr>
      <w:r>
        <w:t xml:space="preserve">График</w:t>
      </w:r>
      <w:r>
        <w:t xml:space="preserve"> </w:t>
      </w:r>
      <m:oMath>
        <m:sSub>
          <m:e>
            <m:r>
              <m:t>U</m:t>
            </m:r>
          </m:e>
          <m:sub>
            <m:r>
              <m:rPr>
                <m:nor/>
                <m:sty m:val="p"/>
              </m:rPr>
              <m:t>проб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  <m:r>
          <m:rPr>
            <m:sty m:val="p"/>
          </m:rPr>
          <m:t>/</m:t>
        </m:r>
        <m:sSub>
          <m:e>
            <m:r>
              <m:t>U</m:t>
            </m:r>
          </m:e>
          <m:sub>
            <m:r>
              <m:rPr>
                <m:nor/>
                <m:sty m:val="p"/>
              </m:rPr>
              <m:t>порог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(кривая Пашена).</w:t>
      </w:r>
    </w:p>
    <w:p>
      <w:pPr>
        <w:pStyle w:val="Compact"/>
        <w:numPr>
          <w:ilvl w:val="0"/>
          <w:numId w:val="1013"/>
        </w:numPr>
      </w:pPr>
      <w:r>
        <w:t xml:space="preserve">Распределение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</m:oMath>
      <w:r>
        <w:t xml:space="preserve"> </w:t>
      </w:r>
      <w:r>
        <w:t xml:space="preserve">в COMSOL / Matplotlib.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6" w:name="инструменты-и-коды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4. Инструменты и коды</w:t>
      </w:r>
    </w:p>
    <w:bookmarkStart w:id="49" w:name="python-для-аналитики-и-простых-моделей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Python (для аналитики и простых моделей)</w:t>
      </w:r>
    </w:p>
    <w:p>
      <w:pPr>
        <w:pStyle w:val="FirstParagraph"/>
      </w:pPr>
      <w:r>
        <w:rPr>
          <w:b/>
          <w:bCs/>
        </w:rPr>
        <w:t xml:space="preserve">Библиотеки</w:t>
      </w:r>
    </w:p>
    <w:p>
      <w:pPr>
        <w:pStyle w:val="Compact"/>
        <w:numPr>
          <w:ilvl w:val="0"/>
          <w:numId w:val="1014"/>
        </w:numPr>
      </w:pPr>
      <w:r>
        <w:t xml:space="preserve">numpy, scipy — расчёты,</w:t>
      </w:r>
    </w:p>
    <w:p>
      <w:pPr>
        <w:pStyle w:val="Compact"/>
        <w:numPr>
          <w:ilvl w:val="0"/>
          <w:numId w:val="1014"/>
        </w:numPr>
      </w:pPr>
      <w:r>
        <w:t xml:space="preserve">matplotlib — графика,</w:t>
      </w:r>
    </w:p>
    <w:p>
      <w:pPr>
        <w:pStyle w:val="Compact"/>
        <w:numPr>
          <w:ilvl w:val="0"/>
          <w:numId w:val="1014"/>
        </w:numPr>
      </w:pPr>
      <w:r>
        <w:t xml:space="preserve">PyBoltz — моделирование пробоя в газах.</w:t>
      </w:r>
    </w:p>
    <w:p>
      <w:pPr>
        <w:pStyle w:val="FirstParagraph"/>
      </w:pPr>
      <w:r>
        <w:rPr>
          <w:b/>
          <w:bCs/>
        </w:rPr>
        <w:t xml:space="preserve">Пример кода для кривой Пашена:</w:t>
      </w:r>
      <w:r>
        <w:t xml:space="preserve"> </w:t>
      </w:r>
      <w:r>
        <w:t xml:space="preserve">(рис. 3).</w:t>
      </w:r>
    </w:p>
    <w:bookmarkStart w:id="48" w:name="fig:003"/>
    <w:p>
      <w:pPr>
        <w:pStyle w:val="CaptionedFigure"/>
      </w:pPr>
      <w:r>
        <w:drawing>
          <wp:inline>
            <wp:extent cx="3733800" cy="3080714"/>
            <wp:effectExtent b="0" l="0" r="0" t="0"/>
            <wp:docPr descr="Рис. 3: Листинг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Листинг</w:t>
      </w:r>
    </w:p>
    <w:bookmarkEnd w:id="48"/>
    <w:bookmarkEnd w:id="49"/>
    <w:bookmarkStart w:id="50" w:name="comsolansys-для-fem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COMSOL/ANSYS (для FEM)</w:t>
      </w:r>
    </w:p>
    <w:p>
      <w:pPr>
        <w:pStyle w:val="Compact"/>
        <w:numPr>
          <w:ilvl w:val="0"/>
          <w:numId w:val="1015"/>
        </w:numPr>
      </w:pPr>
      <w:r>
        <w:t xml:space="preserve">Создать геометрию электродов.</w:t>
      </w:r>
    </w:p>
    <w:p>
      <w:pPr>
        <w:pStyle w:val="Compact"/>
        <w:numPr>
          <w:ilvl w:val="0"/>
          <w:numId w:val="1015"/>
        </w:numPr>
      </w:pPr>
      <w:r>
        <w:t xml:space="preserve">Задать параметры газа.</w:t>
      </w:r>
    </w:p>
    <w:p>
      <w:pPr>
        <w:pStyle w:val="Compact"/>
        <w:numPr>
          <w:ilvl w:val="0"/>
          <w:numId w:val="1015"/>
        </w:numPr>
      </w:pPr>
      <w:r>
        <w:t xml:space="preserve">Добавить модуль</w:t>
      </w:r>
      <w:r>
        <w:t xml:space="preserve"> </w:t>
      </w:r>
      <w:r>
        <w:rPr>
          <w:b/>
          <w:bCs/>
        </w:rPr>
        <w:t xml:space="preserve">Electrostatics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Plasma</w:t>
      </w:r>
      <w:r>
        <w:t xml:space="preserve">.</w:t>
      </w:r>
    </w:p>
    <w:bookmarkEnd w:id="50"/>
    <w:bookmarkStart w:id="55" w:name="karat-для-pic-моделирования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KARAT (для PIC-моделирования)</w:t>
      </w:r>
    </w:p>
    <w:p>
      <w:pPr>
        <w:pStyle w:val="FirstParagraph"/>
      </w:pPr>
      <w:r>
        <w:t xml:space="preserve">Пример входного файла: (рис. 4).</w:t>
      </w:r>
    </w:p>
    <w:bookmarkStart w:id="54" w:name="fig:004"/>
    <w:p>
      <w:pPr>
        <w:pStyle w:val="CaptionedFigure"/>
      </w:pPr>
      <w:r>
        <w:drawing>
          <wp:inline>
            <wp:extent cx="3733800" cy="872470"/>
            <wp:effectExtent b="0" l="0" r="0" t="0"/>
            <wp:docPr descr="Рис. 4: Входные данные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Входные данные</w:t>
      </w:r>
    </w:p>
    <w:bookmarkEnd w:id="54"/>
    <w:p>
      <w:r>
        <w:pict>
          <v:rect style="width:0;height:1.5pt" o:hralign="center" o:hrstd="t" o:hr="t"/>
        </w:pict>
      </w:r>
    </w:p>
    <w:bookmarkEnd w:id="55"/>
    <w:bookmarkEnd w:id="56"/>
    <w:bookmarkStart w:id="57" w:name="дополнительные-исследования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5. Дополнительные исследования</w:t>
      </w:r>
    </w:p>
    <w:p>
      <w:pPr>
        <w:pStyle w:val="FirstParagraph"/>
      </w:pPr>
      <w:r>
        <w:t xml:space="preserve">Если необходимо углубиться, требуется исследовать: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Влияние влажности на пробой</w:t>
      </w:r>
      <w:r>
        <w:t xml:space="preserve"> </w:t>
      </w:r>
      <w:r>
        <w:t xml:space="preserve">(увеличивает</w:t>
      </w:r>
      <w:r>
        <w:t xml:space="preserve"> </w:t>
      </w:r>
      <m:oMath>
        <m:sSub>
          <m:e>
            <m:r>
              <m:t>U</m:t>
            </m:r>
          </m:e>
          <m:sub>
            <m:r>
              <m:rPr>
                <m:nor/>
                <m:sty m:val="p"/>
              </m:rPr>
              <m:t>пробоя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Неоднородные поля</w:t>
      </w:r>
      <w:r>
        <w:t xml:space="preserve"> </w:t>
      </w:r>
      <w:r>
        <w:t xml:space="preserve">(игла-плоскость).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Динамика стримеров</w:t>
      </w:r>
      <w:r>
        <w:t xml:space="preserve"> </w:t>
      </w:r>
      <w:r>
        <w:t xml:space="preserve">(нужны PIC-коды).</w:t>
      </w:r>
    </w:p>
    <w:p>
      <w:r>
        <w:pict>
          <v:rect style="width:0;height:1.5pt" o:hralign="center" o:hrstd="t" o:hr="t"/>
        </w:pict>
      </w:r>
    </w:p>
    <w:bookmarkEnd w:id="57"/>
    <w:bookmarkStart w:id="58" w:name="выводы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6. Выводы</w:t>
      </w:r>
    </w:p>
    <w:p>
      <w:pPr>
        <w:pStyle w:val="FirstParagraph"/>
      </w:pPr>
      <w:r>
        <w:t xml:space="preserve">В ходе работы были рассмотрены основные алгоритмы математического моделирования электрического пробоя с использованием как численных методов, так и языков программирования и прочих инструментов.</w:t>
      </w:r>
    </w:p>
    <w:p>
      <w:r>
        <w:pict>
          <v:rect style="width:0;height:1.5pt" o:hralign="center" o:hrstd="t" o:hr="t"/>
        </w:pict>
      </w:r>
    </w:p>
    <w:bookmarkEnd w:id="58"/>
    <w:bookmarkStart w:id="59" w:name="список-литературы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7. Список литературы</w:t>
      </w:r>
    </w:p>
    <w:p>
      <w:pPr>
        <w:pStyle w:val="Compact"/>
        <w:numPr>
          <w:ilvl w:val="0"/>
          <w:numId w:val="1017"/>
        </w:numPr>
      </w:pPr>
      <w:r>
        <w:t xml:space="preserve">Пашен Ф.</w:t>
      </w:r>
      <w:r>
        <w:t xml:space="preserve"> </w:t>
      </w:r>
      <w:r>
        <w:t xml:space="preserve">“Электрические разряды в газах”</w:t>
      </w:r>
      <w:r>
        <w:t xml:space="preserve">, Москва, 1985.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Fridman A., Kennedy L.</w:t>
      </w:r>
      <w:r>
        <w:t xml:space="preserve"> </w:t>
      </w:r>
      <w:r>
        <w:t xml:space="preserve">“Plasma Physics and Engineering”</w:t>
      </w:r>
      <w:r>
        <w:t xml:space="preserve">, CRC Press, 2011.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Кумпан В.О.</w:t>
      </w:r>
      <w:r>
        <w:t xml:space="preserve"> </w:t>
      </w:r>
      <w:r>
        <w:t xml:space="preserve">“Диэлектрики и их применение”</w:t>
      </w:r>
      <w:r>
        <w:t xml:space="preserve">, СПб, 2002.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2</dc:title>
  <dc:creator>Дымченко Д.Ю.</dc:creator>
  <dc:language>ru-RU</dc:language>
  <cp:keywords/>
  <dcterms:created xsi:type="dcterms:W3CDTF">2025-04-12T09:39:07Z</dcterms:created>
  <dcterms:modified xsi:type="dcterms:W3CDTF">2025-04-12T09:39:07Z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Электрический пробой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