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настройке VLAN на коммутаторах сети.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используя последовательность из текста лабороторной работы проводим конфигурацию Trunk-порта на коммутаторе msk-donskaya-aiamunichnikov-sw-1 и msk-pavlovskaya-sw-1 (рис. 1) (рис. 2).</w:t>
      </w:r>
    </w:p>
    <w:bookmarkStart w:id="24" w:name="fig:001"/>
    <w:p>
      <w:pPr>
        <w:pStyle w:val="CaptionedFigure"/>
      </w:pPr>
      <w:r>
        <w:drawing>
          <wp:inline>
            <wp:extent cx="3733800" cy="3760280"/>
            <wp:effectExtent b="0" l="0" r="0" t="0"/>
            <wp:docPr descr="Рис. 1: Настройка Trunk-порт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Trunk-портов</w:t>
      </w:r>
    </w:p>
    <w:bookmarkEnd w:id="24"/>
    <w:bookmarkStart w:id="28" w:name="fig:002"/>
    <w:p>
      <w:pPr>
        <w:pStyle w:val="CaptionedFigure"/>
      </w:pPr>
      <w:r>
        <w:drawing>
          <wp:inline>
            <wp:extent cx="3733800" cy="3760280"/>
            <wp:effectExtent b="0" l="0" r="0" t="0"/>
            <wp:docPr descr="Рис. 2: Настройка Trunk-порт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Trunk-портов</w:t>
      </w:r>
    </w:p>
    <w:bookmarkEnd w:id="28"/>
    <w:p>
      <w:pPr>
        <w:pStyle w:val="Compact"/>
        <w:numPr>
          <w:ilvl w:val="0"/>
          <w:numId w:val="1002"/>
        </w:numPr>
      </w:pPr>
      <w:r>
        <w:t xml:space="preserve">Прописываем конфигурацию диапозонов портов и конфигурации VTP msk-donskaya-aiamunichnikov-sw-01 (рис. 3).</w:t>
      </w:r>
    </w:p>
    <w:bookmarkStart w:id="32" w:name="fig:003"/>
    <w:p>
      <w:pPr>
        <w:pStyle w:val="CaptionedFigure"/>
      </w:pPr>
      <w:r>
        <w:drawing>
          <wp:inline>
            <wp:extent cx="3733800" cy="3611988"/>
            <wp:effectExtent b="0" l="0" r="0" t="0"/>
            <wp:docPr descr="Рис. 3: Настройка коммутатор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1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коммутаторов</w:t>
      </w:r>
    </w:p>
    <w:bookmarkEnd w:id="32"/>
    <w:p>
      <w:pPr>
        <w:pStyle w:val="Compact"/>
        <w:numPr>
          <w:ilvl w:val="0"/>
          <w:numId w:val="1003"/>
        </w:numPr>
      </w:pPr>
      <w:r>
        <w:t xml:space="preserve">Прописываем конфигурацию диапозонов портов и конфигурации VTP msk-donskaya-aiamunichnikov-sw-02 (рис. 4).</w:t>
      </w:r>
    </w:p>
    <w:bookmarkStart w:id="36" w:name="fig:004"/>
    <w:p>
      <w:pPr>
        <w:pStyle w:val="CaptionedFigure"/>
      </w:pPr>
      <w:r>
        <w:drawing>
          <wp:inline>
            <wp:extent cx="3733800" cy="3749688"/>
            <wp:effectExtent b="0" l="0" r="0" t="0"/>
            <wp:docPr descr="Рис. 4: Настройка коммутаторов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коммутаторов</w:t>
      </w:r>
    </w:p>
    <w:bookmarkEnd w:id="36"/>
    <w:p>
      <w:pPr>
        <w:pStyle w:val="Compact"/>
        <w:numPr>
          <w:ilvl w:val="0"/>
          <w:numId w:val="1004"/>
        </w:numPr>
      </w:pPr>
      <w:r>
        <w:t xml:space="preserve">Прописываем конфигурацию диапозонов портов и конфигурации VTP msk-donskaya-aiamunichnikov-sw-03 (рис. 5).</w:t>
      </w:r>
    </w:p>
    <w:bookmarkStart w:id="40" w:name="fig:005"/>
    <w:p>
      <w:pPr>
        <w:pStyle w:val="CaptionedFigure"/>
      </w:pPr>
      <w:r>
        <w:drawing>
          <wp:inline>
            <wp:extent cx="3733800" cy="3749688"/>
            <wp:effectExtent b="0" l="0" r="0" t="0"/>
            <wp:docPr descr="Рис. 5: Настройка коммутаторов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коммутаторов</w:t>
      </w:r>
    </w:p>
    <w:bookmarkEnd w:id="40"/>
    <w:p>
      <w:pPr>
        <w:pStyle w:val="Compact"/>
        <w:numPr>
          <w:ilvl w:val="0"/>
          <w:numId w:val="1005"/>
        </w:numPr>
      </w:pPr>
      <w:r>
        <w:t xml:space="preserve">Прописываем конфигурацию диапозонов портов и конфигурации VTP msk-donskaya-aiamunichnikov-sw-04 (рис. 6).</w:t>
      </w:r>
    </w:p>
    <w:bookmarkStart w:id="44" w:name="fig:006"/>
    <w:p>
      <w:pPr>
        <w:pStyle w:val="CaptionedFigure"/>
      </w:pPr>
      <w:r>
        <w:drawing>
          <wp:inline>
            <wp:extent cx="3733800" cy="3749688"/>
            <wp:effectExtent b="0" l="0" r="0" t="0"/>
            <wp:docPr descr="Рис. 6: Настройка коммутаторов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коммутаторов</w:t>
      </w:r>
    </w:p>
    <w:bookmarkEnd w:id="44"/>
    <w:p>
      <w:pPr>
        <w:pStyle w:val="Compact"/>
        <w:numPr>
          <w:ilvl w:val="0"/>
          <w:numId w:val="1006"/>
        </w:numPr>
      </w:pPr>
      <w:r>
        <w:t xml:space="preserve">В построенной сети все комутаторы активны (рис. 7).</w:t>
      </w:r>
    </w:p>
    <w:bookmarkStart w:id="48" w:name="fig:007"/>
    <w:p>
      <w:pPr>
        <w:pStyle w:val="CaptionedFigure"/>
      </w:pPr>
      <w:r>
        <w:drawing>
          <wp:inline>
            <wp:extent cx="3733800" cy="1307579"/>
            <wp:effectExtent b="0" l="0" r="0" t="0"/>
            <wp:docPr descr="Рис. 7: Построеная и настроенная сеть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Построеная и настроенная сеть</w:t>
      </w:r>
    </w:p>
    <w:bookmarkEnd w:id="48"/>
    <w:p>
      <w:pPr>
        <w:pStyle w:val="Compact"/>
        <w:numPr>
          <w:ilvl w:val="0"/>
          <w:numId w:val="1007"/>
        </w:numPr>
      </w:pPr>
      <w:r>
        <w:t xml:space="preserve">Проверим результат проделанной работы на dep-donskaya-aiamunichnikov-1 и попробуем пропинговать устройство из другой сети. Неудачно (рис. 8) (рис. 9).</w:t>
      </w:r>
    </w:p>
    <w:bookmarkStart w:id="52" w:name="fig:008"/>
    <w:p>
      <w:pPr>
        <w:pStyle w:val="CaptionedFigure"/>
      </w:pPr>
      <w:r>
        <w:drawing>
          <wp:inline>
            <wp:extent cx="3733800" cy="2152425"/>
            <wp:effectExtent b="0" l="0" r="0" t="0"/>
            <wp:docPr descr="Рис. 8: Проверка корректности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корректности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459915"/>
            <wp:effectExtent b="0" l="0" r="0" t="0"/>
            <wp:docPr descr="Рис. 9: Неудачная попытк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Неудачная попытка</w:t>
      </w:r>
    </w:p>
    <w:bookmarkEnd w:id="56"/>
    <w:p>
      <w:pPr>
        <w:pStyle w:val="Compact"/>
        <w:numPr>
          <w:ilvl w:val="0"/>
          <w:numId w:val="1008"/>
        </w:numPr>
      </w:pPr>
      <w:r>
        <w:t xml:space="preserve">Используя режим симуляции, изучим процесс передвижения пакета ICMP по сети. (рис. 10) (рис. 11).</w:t>
      </w:r>
    </w:p>
    <w:bookmarkStart w:id="60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Запуск симуляции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симуляции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472377"/>
            <wp:effectExtent b="0" l="0" r="0" t="0"/>
            <wp:docPr descr="Рис. 11: Разбор одного из отправленных паке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2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Разбор одного из отправленных пакетов</w:t>
      </w:r>
    </w:p>
    <w:bookmarkEnd w:id="64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основные навыки по настройке VLAN на коммутаторах сети.</w:t>
      </w:r>
    </w:p>
    <w:bookmarkEnd w:id="66"/>
    <w:bookmarkStart w:id="67" w:name="ответы-на-впо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впоросы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Команда для просмотра списка VLAN: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show</w:t>
      </w:r>
      <w:r>
        <w:rPr>
          <w:rStyle w:val="NormalTok"/>
        </w:rPr>
        <w:t xml:space="preserve"> vlan brief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VLAN Trunking Protocol (VTP):</w:t>
      </w:r>
    </w:p>
    <w:p>
      <w:pPr>
        <w:pStyle w:val="Compact"/>
        <w:numPr>
          <w:ilvl w:val="1"/>
          <w:numId w:val="1010"/>
        </w:numPr>
      </w:pPr>
      <w:r>
        <w:t xml:space="preserve">Протокол для синхронизации информации о VLAN между коммутаторами.</w:t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Команды:</w:t>
      </w:r>
    </w:p>
    <w:p>
      <w:pPr>
        <w:numPr>
          <w:ilvl w:val="2"/>
          <w:numId w:val="1011"/>
        </w:numPr>
      </w:pPr>
      <w:r>
        <w:t xml:space="preserve">Настройка режима VTP:</w:t>
      </w:r>
    </w:p>
    <w:p>
      <w:pPr>
        <w:pStyle w:val="SourceCode"/>
        <w:numPr>
          <w:ilvl w:val="2"/>
          <w:numId w:val="1000"/>
        </w:numPr>
      </w:pPr>
      <w:r>
        <w:rPr>
          <w:rStyle w:val="ExtensionTok"/>
        </w:rPr>
        <w:t xml:space="preserve">vtp</w:t>
      </w:r>
      <w:r>
        <w:rPr>
          <w:rStyle w:val="NormalTok"/>
        </w:rPr>
        <w:t xml:space="preserve"> mode [server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client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transparent]</w:t>
      </w:r>
    </w:p>
    <w:p>
      <w:pPr>
        <w:numPr>
          <w:ilvl w:val="2"/>
          <w:numId w:val="1011"/>
        </w:numPr>
      </w:pPr>
      <w:r>
        <w:t xml:space="preserve">Настройка домена VTP:</w:t>
      </w:r>
    </w:p>
    <w:p>
      <w:pPr>
        <w:pStyle w:val="SourceCode"/>
        <w:numPr>
          <w:ilvl w:val="2"/>
          <w:numId w:val="1000"/>
        </w:numPr>
      </w:pPr>
      <w:r>
        <w:rPr>
          <w:rStyle w:val="ExtensionTok"/>
        </w:rPr>
        <w:t xml:space="preserve">vtp</w:t>
      </w:r>
      <w:r>
        <w:rPr>
          <w:rStyle w:val="NormalTok"/>
        </w:rPr>
        <w:t xml:space="preserve"> domain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имя_домена</w:t>
      </w:r>
      <w:r>
        <w:rPr>
          <w:rStyle w:val="OperatorTok"/>
        </w:rPr>
        <w:t xml:space="preserve">&gt;</w:t>
      </w:r>
    </w:p>
    <w:p>
      <w:pPr>
        <w:numPr>
          <w:ilvl w:val="2"/>
          <w:numId w:val="1011"/>
        </w:numPr>
      </w:pPr>
      <w:r>
        <w:t xml:space="preserve">Просмотр информации о VTP:</w:t>
      </w:r>
    </w:p>
    <w:p>
      <w:pPr>
        <w:pStyle w:val="SourceCode"/>
        <w:numPr>
          <w:ilvl w:val="2"/>
          <w:numId w:val="1000"/>
        </w:numPr>
      </w:pPr>
      <w:r>
        <w:rPr>
          <w:rStyle w:val="ExtensionTok"/>
        </w:rPr>
        <w:t xml:space="preserve">show</w:t>
      </w:r>
      <w:r>
        <w:rPr>
          <w:rStyle w:val="NormalTok"/>
        </w:rPr>
        <w:t xml:space="preserve"> vtp status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Internet Control Message Protocol (ICMP):</w:t>
      </w:r>
    </w:p>
    <w:p>
      <w:pPr>
        <w:pStyle w:val="Compact"/>
        <w:numPr>
          <w:ilvl w:val="1"/>
          <w:numId w:val="1012"/>
        </w:numPr>
      </w:pPr>
      <w:r>
        <w:t xml:space="preserve">Протокол для отправки сообщений об ошибках и диагностики сети.</w:t>
      </w:r>
    </w:p>
    <w:p>
      <w:pPr>
        <w:pStyle w:val="Compact"/>
        <w:numPr>
          <w:ilvl w:val="1"/>
          <w:numId w:val="1012"/>
        </w:numPr>
      </w:pPr>
      <w:r>
        <w:rPr>
          <w:b/>
          <w:bCs/>
        </w:rPr>
        <w:t xml:space="preserve">Формат пакета ICMP:</w:t>
      </w:r>
    </w:p>
    <w:p>
      <w:pPr>
        <w:pStyle w:val="Compact"/>
        <w:numPr>
          <w:ilvl w:val="2"/>
          <w:numId w:val="1013"/>
        </w:numPr>
      </w:pPr>
      <w:r>
        <w:t xml:space="preserve">Тип (8 бит) — тип сообщения (например, Echo Request/Reply).</w:t>
      </w:r>
    </w:p>
    <w:p>
      <w:pPr>
        <w:pStyle w:val="Compact"/>
        <w:numPr>
          <w:ilvl w:val="2"/>
          <w:numId w:val="1013"/>
        </w:numPr>
      </w:pPr>
      <w:r>
        <w:t xml:space="preserve">Код (8 бит) — уточнение типа.</w:t>
      </w:r>
    </w:p>
    <w:p>
      <w:pPr>
        <w:pStyle w:val="Compact"/>
        <w:numPr>
          <w:ilvl w:val="2"/>
          <w:numId w:val="1013"/>
        </w:numPr>
      </w:pPr>
      <w:r>
        <w:t xml:space="preserve">Контрольная сумма (16 бит) — проверка целостности.</w:t>
      </w:r>
    </w:p>
    <w:p>
      <w:pPr>
        <w:pStyle w:val="Compact"/>
        <w:numPr>
          <w:ilvl w:val="2"/>
          <w:numId w:val="1013"/>
        </w:numPr>
      </w:pPr>
      <w:r>
        <w:t xml:space="preserve">Данные (переменная длина) — полезная нагрузка.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Address Resolution Protocol (ARP):</w:t>
      </w:r>
    </w:p>
    <w:p>
      <w:pPr>
        <w:pStyle w:val="Compact"/>
        <w:numPr>
          <w:ilvl w:val="1"/>
          <w:numId w:val="1014"/>
        </w:numPr>
      </w:pPr>
      <w:r>
        <w:t xml:space="preserve">Протокол для определения MAC-адреса по IP-адресу.</w:t>
      </w:r>
    </w:p>
    <w:p>
      <w:pPr>
        <w:pStyle w:val="Compact"/>
        <w:numPr>
          <w:ilvl w:val="1"/>
          <w:numId w:val="1014"/>
        </w:numPr>
      </w:pPr>
      <w:r>
        <w:rPr>
          <w:b/>
          <w:bCs/>
        </w:rPr>
        <w:t xml:space="preserve">Формат пакета ARP:</w:t>
      </w:r>
    </w:p>
    <w:p>
      <w:pPr>
        <w:pStyle w:val="Compact"/>
        <w:numPr>
          <w:ilvl w:val="2"/>
          <w:numId w:val="1015"/>
        </w:numPr>
      </w:pPr>
      <w:r>
        <w:t xml:space="preserve">Тип сети (2 байта) — например, Ethernet (0x0001).</w:t>
      </w:r>
    </w:p>
    <w:p>
      <w:pPr>
        <w:pStyle w:val="Compact"/>
        <w:numPr>
          <w:ilvl w:val="2"/>
          <w:numId w:val="1015"/>
        </w:numPr>
      </w:pPr>
      <w:r>
        <w:t xml:space="preserve">Тип протокола (2 байта) — например, IPv4 (0x0800).</w:t>
      </w:r>
    </w:p>
    <w:p>
      <w:pPr>
        <w:pStyle w:val="Compact"/>
        <w:numPr>
          <w:ilvl w:val="2"/>
          <w:numId w:val="1015"/>
        </w:numPr>
      </w:pPr>
      <w:r>
        <w:t xml:space="preserve">Длина MAC-адреса (1 байт).</w:t>
      </w:r>
    </w:p>
    <w:p>
      <w:pPr>
        <w:pStyle w:val="Compact"/>
        <w:numPr>
          <w:ilvl w:val="2"/>
          <w:numId w:val="1015"/>
        </w:numPr>
      </w:pPr>
      <w:r>
        <w:t xml:space="preserve">Длина IP-адреса (1 байт).</w:t>
      </w:r>
    </w:p>
    <w:p>
      <w:pPr>
        <w:pStyle w:val="Compact"/>
        <w:numPr>
          <w:ilvl w:val="2"/>
          <w:numId w:val="1015"/>
        </w:numPr>
      </w:pPr>
      <w:r>
        <w:t xml:space="preserve">Операция (2 байта) — запрос (1) или ответ (2).</w:t>
      </w:r>
    </w:p>
    <w:p>
      <w:pPr>
        <w:pStyle w:val="Compact"/>
        <w:numPr>
          <w:ilvl w:val="2"/>
          <w:numId w:val="1015"/>
        </w:numPr>
      </w:pPr>
      <w:r>
        <w:t xml:space="preserve">MAC-адрес отправителя (6 байт).</w:t>
      </w:r>
    </w:p>
    <w:p>
      <w:pPr>
        <w:pStyle w:val="Compact"/>
        <w:numPr>
          <w:ilvl w:val="2"/>
          <w:numId w:val="1015"/>
        </w:numPr>
      </w:pPr>
      <w:r>
        <w:t xml:space="preserve">IP-адрес отправителя (4 байта).</w:t>
      </w:r>
    </w:p>
    <w:p>
      <w:pPr>
        <w:pStyle w:val="Compact"/>
        <w:numPr>
          <w:ilvl w:val="2"/>
          <w:numId w:val="1015"/>
        </w:numPr>
      </w:pPr>
      <w:r>
        <w:t xml:space="preserve">MAC-адрес получателя (6 байт).</w:t>
      </w:r>
    </w:p>
    <w:p>
      <w:pPr>
        <w:pStyle w:val="Compact"/>
        <w:numPr>
          <w:ilvl w:val="2"/>
          <w:numId w:val="1015"/>
        </w:numPr>
      </w:pPr>
      <w:r>
        <w:t xml:space="preserve">IP-адрес получателя (4 байта).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MAC-адрес:</w:t>
      </w:r>
    </w:p>
    <w:p>
      <w:pPr>
        <w:pStyle w:val="Compact"/>
        <w:numPr>
          <w:ilvl w:val="1"/>
          <w:numId w:val="1016"/>
        </w:numPr>
      </w:pPr>
      <w:r>
        <w:t xml:space="preserve">Уникальный идентификатор сетевого устройства на канальном уровне.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Структура:</w:t>
      </w:r>
    </w:p>
    <w:p>
      <w:pPr>
        <w:pStyle w:val="Compact"/>
        <w:numPr>
          <w:ilvl w:val="2"/>
          <w:numId w:val="1017"/>
        </w:numPr>
      </w:pPr>
      <w:r>
        <w:t xml:space="preserve">6 байт (48 бит), записывается в формате</w:t>
      </w:r>
      <w:r>
        <w:t xml:space="preserve"> </w:t>
      </w:r>
      <w:r>
        <w:rPr>
          <w:rStyle w:val="VerbatimChar"/>
        </w:rPr>
        <w:t xml:space="preserve">XX:XX:XX:XX:XX:XX</w:t>
      </w:r>
      <w:r>
        <w:t xml:space="preserve">.</w:t>
      </w:r>
    </w:p>
    <w:p>
      <w:pPr>
        <w:pStyle w:val="Compact"/>
        <w:numPr>
          <w:ilvl w:val="2"/>
          <w:numId w:val="1017"/>
        </w:numPr>
      </w:pPr>
      <w:r>
        <w:t xml:space="preserve">Первые 3 байта — идентификатор производителя (OUI).</w:t>
      </w:r>
    </w:p>
    <w:p>
      <w:pPr>
        <w:pStyle w:val="Compact"/>
        <w:numPr>
          <w:ilvl w:val="2"/>
          <w:numId w:val="1017"/>
        </w:numPr>
      </w:pPr>
      <w:r>
        <w:t xml:space="preserve">Последние 3 байта — уникальный номер устройства.</w:t>
      </w:r>
    </w:p>
    <w:bookmarkEnd w:id="6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Амуничников Антон, НПИбд-01-22</dc:creator>
  <dc:language>ru-RU</dc:language>
  <cp:keywords/>
  <dcterms:created xsi:type="dcterms:W3CDTF">2025-03-13T15:04:04Z</dcterms:created>
  <dcterms:modified xsi:type="dcterms:W3CDTF">2025-03-13T15:04:04Z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