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18.png" ContentType="image/png"/>
  <Override PartName="/word/media/rId30.png" ContentType="image/png"/>
  <Override PartName="/word/media/rId143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Сформировать резервное соединение между коммутаторами msk-donskayasw-1 и msk-donskaya-sw-3.</w:t>
      </w:r>
    </w:p>
    <w:p>
      <w:pPr>
        <w:numPr>
          <w:ilvl w:val="0"/>
          <w:numId w:val="1001"/>
        </w:numPr>
      </w:pPr>
      <w:r>
        <w:t xml:space="preserve">Настроить балансировку нагрузки между резервными соединениями.</w:t>
      </w:r>
    </w:p>
    <w:p>
      <w:pPr>
        <w:numPr>
          <w:ilvl w:val="0"/>
          <w:numId w:val="1001"/>
        </w:numPr>
      </w:pPr>
      <w:r>
        <w:t xml:space="preserve">Настроить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</w:pPr>
      <w:r>
        <w:t xml:space="preserve">Изучить отказоустойчивость резервного соединения.</w:t>
      </w:r>
    </w:p>
    <w:p>
      <w:pPr>
        <w:numPr>
          <w:ilvl w:val="0"/>
          <w:numId w:val="1001"/>
        </w:numPr>
      </w:pPr>
      <w:r>
        <w:t xml:space="preserve">Сформировать и настроить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 1). Для этого:</w:t>
      </w:r>
    </w:p>
    <w:p>
      <w:pPr>
        <w:numPr>
          <w:ilvl w:val="0"/>
          <w:numId w:val="1002"/>
        </w:numPr>
      </w:pPr>
      <w:r>
        <w:t xml:space="preserve">заменим соединение между коммутаторами msk-donskaya-sw-1(Gig0/2) и msk-donskaya-sw-4 (Gig0/1) на соединение между коммутаторами msk-donskaya-sw-1 (Gig0/2) и msk-donskaya-sw-3 (Gig0/2);</w:t>
      </w:r>
    </w:p>
    <w:p>
      <w:pPr>
        <w:numPr>
          <w:ilvl w:val="0"/>
          <w:numId w:val="1002"/>
        </w:numPr>
      </w:pPr>
      <w:r>
        <w:t xml:space="preserve">сделаем порт на интерфейсе Gig0/2 коммутатора msk-donskaya-sw-3 транковым (рис. 2);</w:t>
      </w:r>
    </w:p>
    <w:p>
      <w:pPr>
        <w:numPr>
          <w:ilvl w:val="0"/>
          <w:numId w:val="1002"/>
        </w:numPr>
      </w:pPr>
      <w:r>
        <w:t xml:space="preserve">соединение между коммутаторами msk-donskaya-sw-1 и msk-donskayasw-4 сделаем через интерфейсы Fa0/23, не забыв активировать их в транковом режиме (рис. 3,4).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Логическая схема локальной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резервным соединением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605319"/>
            <wp:effectExtent b="0" l="0" r="0" t="0"/>
            <wp:docPr descr="Рис. 2: Настройка trunk-порта на интерфейсе Gig0/2 коммутатора msk-donskaya-sw-3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trunk-порта на интерфейсе Gig0/2 коммутатора msk-donskaya-sw-3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834792"/>
            <wp:effectExtent b="0" l="0" r="0" t="0"/>
            <wp:docPr descr="Рис. 3: Настройка trunk-порта на интерфейсе на интерфейсе Fa0/23 коммутатора msk-donskaya-s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trunk-порта на интерфейсе на интерфейсе Fa0/23 коммутатора msk-donskaya-sw-1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834792"/>
            <wp:effectExtent b="0" l="0" r="0" t="0"/>
            <wp:docPr descr="Рис. 4: Настройка trunk-порта на интерфейсе на интерфейсе Fa0/23 коммутатора msk-donskaya-sw-4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trunk-порта на интерфейсе на интерфейсе Fa0/23 коммутатора msk-donskaya-sw-4</w:t>
      </w:r>
    </w:p>
    <w:bookmarkEnd w:id="37"/>
    <w:p>
      <w:pPr>
        <w:pStyle w:val="BodyText"/>
      </w:pPr>
      <w:r>
        <w:t xml:space="preserve">С оконечного устройства dk-donskaya-1 пропингуем серверы mail и web (рис. 5).</w:t>
      </w:r>
    </w:p>
    <w:bookmarkStart w:id="41" w:name="fig:005"/>
    <w:p>
      <w:pPr>
        <w:pStyle w:val="CaptionedFigure"/>
      </w:pPr>
      <w:r>
        <w:drawing>
          <wp:inline>
            <wp:extent cx="3733800" cy="3457222"/>
            <wp:effectExtent b="0" l="0" r="0" t="0"/>
            <wp:docPr descr="Рис. 5: Пингование сервера mail и web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Пингование сервера mail и web</w:t>
      </w:r>
    </w:p>
    <w:bookmarkEnd w:id="41"/>
    <w:p>
      <w:pPr>
        <w:pStyle w:val="BodyText"/>
      </w:pPr>
      <w:r>
        <w:t xml:space="preserve">В режиме симуляции проследим движение пакетов ICMP. Убедимся, что движение пакетов происходит через коммутатор msk-donskaya-sw-2 (рис. 6,7).</w:t>
      </w:r>
    </w:p>
    <w:bookmarkStart w:id="45" w:name="fig:006"/>
    <w:p>
      <w:pPr>
        <w:pStyle w:val="CaptionedFigure"/>
      </w:pPr>
      <w:r>
        <w:drawing>
          <wp:inline>
            <wp:extent cx="3733800" cy="1851597"/>
            <wp:effectExtent b="0" l="0" r="0" t="0"/>
            <wp:docPr descr="Рис. 6: Режим симуляции движения пакетов ICMP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симуляции движения пакетов ICMP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1953613"/>
            <wp:effectExtent b="0" l="0" r="0" t="0"/>
            <wp:docPr descr="Рис. 7: Режим симуляции движения пакетов ICMP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Режим симуляции движения пакетов ICMP</w:t>
      </w:r>
    </w:p>
    <w:bookmarkEnd w:id="49"/>
    <w:p>
      <w:pPr>
        <w:pStyle w:val="BodyText"/>
      </w:pPr>
      <w:r>
        <w:t xml:space="preserve">На коммутаторе msk-donskaya-sw-2 посмотрим состояние протокола STP для vlan 3 (рис. 8):</w:t>
      </w:r>
    </w:p>
    <w:bookmarkStart w:id="53" w:name="fig:008"/>
    <w:p>
      <w:pPr>
        <w:pStyle w:val="CaptionedFigure"/>
      </w:pPr>
      <w:r>
        <w:drawing>
          <wp:inline>
            <wp:extent cx="3733800" cy="2390542"/>
            <wp:effectExtent b="0" l="0" r="0" t="0"/>
            <wp:docPr descr="Рис. 8: Просмотр состояния протокола STP для vlan 3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состояния протокола STP для vlan 3</w:t>
      </w:r>
    </w:p>
    <w:bookmarkEnd w:id="53"/>
    <w:p>
      <w:pPr>
        <w:pStyle w:val="BodyText"/>
      </w:pPr>
      <w:r>
        <w:t xml:space="preserve">В качестве корневого коммутатора STP настроем коммутатор msk-donskaya-sw-1 (рис. 9):</w:t>
      </w:r>
    </w:p>
    <w:bookmarkStart w:id="57" w:name="fig:009"/>
    <w:p>
      <w:pPr>
        <w:pStyle w:val="CaptionedFigure"/>
      </w:pPr>
      <w:r>
        <w:drawing>
          <wp:inline>
            <wp:extent cx="3733800" cy="2822227"/>
            <wp:effectExtent b="0" l="0" r="0" t="0"/>
            <wp:docPr descr="Рис. 9: Настройка коммутатора msk-donskaya-sw-1 корневым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коммутатора msk-donskaya-sw-1 корневым</w:t>
      </w:r>
    </w:p>
    <w:bookmarkEnd w:id="57"/>
    <w:p>
      <w:pPr>
        <w:pStyle w:val="BodyText"/>
      </w:pPr>
      <w:r>
        <w:t xml:space="preserve">Используя режим симуляции, убедимся, что пакеты ICMP пойдут от</w:t>
      </w:r>
      <w:r>
        <w:t xml:space="preserve"> </w:t>
      </w:r>
      <w:r>
        <w:t xml:space="preserve">хоста dk-donskaya-1 до mail через коммутаторы msk-donskaya-sw-1 и mskdonskaya-sw-3, а от хоста dk-donskaya-1 до web через коммутаторы</w:t>
      </w:r>
      <w:r>
        <w:t xml:space="preserve"> </w:t>
      </w:r>
      <w:r>
        <w:t xml:space="preserve">msk-donskaya-sw-1 и msk-donskaya-sw-2 (рис. 10,11).</w:t>
      </w:r>
    </w:p>
    <w:bookmarkStart w:id="61" w:name="fig:010"/>
    <w:p>
      <w:pPr>
        <w:pStyle w:val="CaptionedFigure"/>
      </w:pPr>
      <w:r>
        <w:drawing>
          <wp:inline>
            <wp:extent cx="3733800" cy="1851597"/>
            <wp:effectExtent b="0" l="0" r="0" t="0"/>
            <wp:docPr descr="Рис. 10: Режим симуляции движения пакетов ICMP к серверу web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симуляции движения пакетов ICMP к серверу web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1953613"/>
            <wp:effectExtent b="0" l="0" r="0" t="0"/>
            <wp:docPr descr="Рис. 11: Режим симуляции движения пакетов ICMP к серверу mail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Режим симуляции движения пакетов ICMP к серверу mail</w:t>
      </w:r>
    </w:p>
    <w:bookmarkEnd w:id="65"/>
    <w:p>
      <w:pPr>
        <w:pStyle w:val="BodyText"/>
      </w:pPr>
      <w:r>
        <w:t xml:space="preserve">Настроим режим Portfast на тех интерфейсах коммутаторов, к которым</w:t>
      </w:r>
      <w:r>
        <w:t xml:space="preserve"> </w:t>
      </w:r>
      <w:r>
        <w:t xml:space="preserve">подключены серверы (рис. 12,13):</w:t>
      </w:r>
    </w:p>
    <w:bookmarkStart w:id="69" w:name="fig:012"/>
    <w:p>
      <w:pPr>
        <w:pStyle w:val="CaptionedFigure"/>
      </w:pPr>
      <w:r>
        <w:drawing>
          <wp:inline>
            <wp:extent cx="3733800" cy="2179947"/>
            <wp:effectExtent b="0" l="0" r="0" t="0"/>
            <wp:docPr descr="Рис. 12: Настройка режима Portfast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режима Portfast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2179947"/>
            <wp:effectExtent b="0" l="0" r="0" t="0"/>
            <wp:docPr descr="Рис. 13: Настройка режима Portfast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режима Portfast</w:t>
      </w:r>
    </w:p>
    <w:bookmarkEnd w:id="73"/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ping -n 1000 mail.donskaya.rudn.ru</w:t>
      </w:r>
      <w:r>
        <w:t xml:space="preserve"> </w:t>
      </w:r>
      <w:r>
        <w:t xml:space="preserve">на хосте dk-donskaya-1 (рис. 14),</w:t>
      </w:r>
      <w:r>
        <w:t xml:space="preserve"> </w:t>
      </w:r>
      <w:r>
        <w:t xml:space="preserve">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 (рис. 15).</w:t>
      </w:r>
    </w:p>
    <w:bookmarkStart w:id="77" w:name="fig:014"/>
    <w:p>
      <w:pPr>
        <w:pStyle w:val="CaptionedFigure"/>
      </w:pPr>
      <w:r>
        <w:drawing>
          <wp:inline>
            <wp:extent cx="3416968" cy="2521818"/>
            <wp:effectExtent b="0" l="0" r="0" t="0"/>
            <wp:docPr descr="Рис. 14: Пингование mail.donskaya.rudn.ru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5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Пингование mail.donskaya.rudn.ru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580560"/>
            <wp:effectExtent b="0" l="0" r="0" t="0"/>
            <wp:docPr descr="Рис. 15: Разрыв соединения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Разрыв соединения</w:t>
      </w:r>
    </w:p>
    <w:bookmarkEnd w:id="81"/>
    <w:p>
      <w:pPr>
        <w:pStyle w:val="BodyText"/>
      </w:pPr>
      <w:r>
        <w:t xml:space="preserve">Видно, что на время восстановления соединения потребовалось 4 пинга, что достаточно долго (рис. 16). После восстановление пингование продолжило работать, как и в начале.</w:t>
      </w:r>
    </w:p>
    <w:bookmarkStart w:id="85" w:name="fig:016"/>
    <w:p>
      <w:pPr>
        <w:pStyle w:val="CaptionedFigure"/>
      </w:pPr>
      <w:r>
        <w:drawing>
          <wp:inline>
            <wp:extent cx="3513221" cy="2069431"/>
            <wp:effectExtent b="0" l="0" r="0" t="0"/>
            <wp:docPr descr="Рис. 16: Время восстановления соединения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Время восстановления соединения</w:t>
      </w:r>
    </w:p>
    <w:bookmarkEnd w:id="85"/>
    <w:p>
      <w:pPr>
        <w:pStyle w:val="BodyText"/>
      </w:pPr>
      <w:r>
        <w:t xml:space="preserve">Переключим коммутаторы в режим работы по протоколу Rapid PVST+ (рис. 17,18,19,20):</w:t>
      </w:r>
    </w:p>
    <w:bookmarkStart w:id="89" w:name="fig:017"/>
    <w:p>
      <w:pPr>
        <w:pStyle w:val="CaptionedFigure"/>
      </w:pPr>
      <w:r>
        <w:drawing>
          <wp:inline>
            <wp:extent cx="3733800" cy="580560"/>
            <wp:effectExtent b="0" l="0" r="0" t="0"/>
            <wp:docPr descr="Рис. 17: Режим работы по протоколу Rapid PVST+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Режим работы по протоколу Rapid PVST+</w:t>
      </w:r>
    </w:p>
    <w:bookmarkEnd w:id="89"/>
    <w:bookmarkStart w:id="93" w:name="fig:018"/>
    <w:p>
      <w:pPr>
        <w:pStyle w:val="CaptionedFigure"/>
      </w:pPr>
      <w:r>
        <w:drawing>
          <wp:inline>
            <wp:extent cx="3733800" cy="580560"/>
            <wp:effectExtent b="0" l="0" r="0" t="0"/>
            <wp:docPr descr="Рис. 18: Режим работы по протоколу Rapid PVST+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Режим работы по протоколу Rapid PVST+</w:t>
      </w:r>
    </w:p>
    <w:bookmarkEnd w:id="93"/>
    <w:bookmarkStart w:id="97" w:name="fig:019"/>
    <w:p>
      <w:pPr>
        <w:pStyle w:val="CaptionedFigure"/>
      </w:pPr>
      <w:r>
        <w:drawing>
          <wp:inline>
            <wp:extent cx="3733800" cy="580560"/>
            <wp:effectExtent b="0" l="0" r="0" t="0"/>
            <wp:docPr descr="Рис. 19: Режим работы по протоколу Rapid PVST+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работы по протоколу Rapid PVST+</w:t>
      </w:r>
    </w:p>
    <w:bookmarkEnd w:id="97"/>
    <w:bookmarkStart w:id="101" w:name="fig:020"/>
    <w:p>
      <w:pPr>
        <w:pStyle w:val="CaptionedFigure"/>
      </w:pPr>
      <w:r>
        <w:drawing>
          <wp:inline>
            <wp:extent cx="3733800" cy="250437"/>
            <wp:effectExtent b="0" l="0" r="0" t="0"/>
            <wp:docPr descr="Рис. 20: Режим работы по протоколу Rapid PVST+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Режим работы по протоколу Rapid PVST+</w:t>
      </w:r>
    </w:p>
    <w:bookmarkEnd w:id="101"/>
    <w:bookmarkStart w:id="105" w:name="fig:021"/>
    <w:p>
      <w:pPr>
        <w:pStyle w:val="CaptionedFigure"/>
      </w:pPr>
      <w:r>
        <w:drawing>
          <wp:inline>
            <wp:extent cx="3733800" cy="387040"/>
            <wp:effectExtent b="0" l="0" r="0" t="0"/>
            <wp:docPr descr="Рис. 21: Режим работы по протоколу Rapid PVST+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Режим работы по протоколу Rapid PVST+</w:t>
      </w:r>
    </w:p>
    <w:bookmarkEnd w:id="105"/>
    <w:p>
      <w:pPr>
        <w:pStyle w:val="BodyText"/>
      </w:pPr>
      <w:r>
        <w:t xml:space="preserve">Изучим теперь отказоустойчивость протокола Rapid PVST+ и время восстановления соединения при переключении на резервное соединение (рис. 22,23).</w:t>
      </w:r>
    </w:p>
    <w:bookmarkStart w:id="109" w:name="fig:022"/>
    <w:p>
      <w:pPr>
        <w:pStyle w:val="CaptionedFigure"/>
      </w:pPr>
      <w:r>
        <w:drawing>
          <wp:inline>
            <wp:extent cx="3484345" cy="1520791"/>
            <wp:effectExtent b="0" l="0" r="0" t="0"/>
            <wp:docPr descr="Рис. 22: Пингование mail.donskaya.rudn.ru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Пингование mail.donskaya.rudn.ru</w:t>
      </w:r>
    </w:p>
    <w:bookmarkEnd w:id="109"/>
    <w:bookmarkStart w:id="113" w:name="fig:023"/>
    <w:p>
      <w:pPr>
        <w:pStyle w:val="CaptionedFigure"/>
      </w:pPr>
      <w:r>
        <w:drawing>
          <wp:inline>
            <wp:extent cx="3733800" cy="1212346"/>
            <wp:effectExtent b="0" l="0" r="0" t="0"/>
            <wp:docPr descr="Рис. 23: Разрыв соединения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Разрыв соединения</w:t>
      </w:r>
    </w:p>
    <w:bookmarkEnd w:id="113"/>
    <w:p>
      <w:pPr>
        <w:pStyle w:val="BodyText"/>
      </w:pPr>
      <w:r>
        <w:t xml:space="preserve">Сразу после разрыва соединения задержки по времени вообще не было, сесть моментально перестроилась.</w:t>
      </w:r>
    </w:p>
    <w:p>
      <w:pPr>
        <w:pStyle w:val="BodyText"/>
      </w:pPr>
      <w:r>
        <w:t xml:space="preserve">А вот, когда обратно вернули старое соединение потребовался 1 пинг, что достаточно быстро (рис. 24). После восстановление пингование продолжило работать, как и в начале.</w:t>
      </w:r>
    </w:p>
    <w:bookmarkStart w:id="117" w:name="fig:024"/>
    <w:p>
      <w:pPr>
        <w:pStyle w:val="CaptionedFigure"/>
      </w:pPr>
      <w:r>
        <w:drawing>
          <wp:inline>
            <wp:extent cx="3522846" cy="1925052"/>
            <wp:effectExtent b="0" l="0" r="0" t="0"/>
            <wp:docPr descr="Рис. 24: Время восстановления соединения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Время восстановления соединения</w:t>
      </w:r>
    </w:p>
    <w:bookmarkEnd w:id="117"/>
    <w:p>
      <w:pPr>
        <w:pStyle w:val="BodyText"/>
      </w:pPr>
      <w:r>
        <w:t xml:space="preserve">Сформируем агрегированное соединение интерфейсов Fa0/20 – Fa0/23</w:t>
      </w:r>
      <w:r>
        <w:t xml:space="preserve"> </w:t>
      </w:r>
      <w:r>
        <w:t xml:space="preserve">между коммутаторами msk-donskaya-sw-1 и msk-donskaya-sw-4 (рис. 25).</w:t>
      </w:r>
    </w:p>
    <w:bookmarkStart w:id="121" w:name="fig:029"/>
    <w:p>
      <w:pPr>
        <w:pStyle w:val="CaptionedFigure"/>
      </w:pPr>
      <w:r>
        <w:drawing>
          <wp:inline>
            <wp:extent cx="3733800" cy="1724256"/>
            <wp:effectExtent b="0" l="0" r="0" t="0"/>
            <wp:docPr descr="Рис. 25: Логическая схема локальной сети с агрегированным соединением" title="" id="119" name="Picture"/>
            <a:graphic>
              <a:graphicData uri="http://schemas.openxmlformats.org/drawingml/2006/picture">
                <pic:pic>
                  <pic:nvPicPr>
                    <pic:cNvPr descr="image/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Логическая схема локальной сети с агрегированным соединением</w:t>
      </w:r>
    </w:p>
    <w:bookmarkEnd w:id="121"/>
    <w:p>
      <w:pPr>
        <w:pStyle w:val="BodyText"/>
      </w:pPr>
      <w:r>
        <w:t xml:space="preserve">Настроим агрегирование каналов (режим EtherChannel) (рис. 24–fig. 29):</w:t>
      </w:r>
    </w:p>
    <w:bookmarkStart w:id="125" w:name="fig:025"/>
    <w:p>
      <w:pPr>
        <w:pStyle w:val="CaptionedFigure"/>
      </w:pPr>
      <w:r>
        <w:drawing>
          <wp:inline>
            <wp:extent cx="3733800" cy="318739"/>
            <wp:effectExtent b="0" l="0" r="0" t="0"/>
            <wp:docPr descr="Рис. 26: Настройка агрегирования каналов на msk-donskaya-aiamunichnikov-sw-1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Настройка агрегирования каналов на msk-donskaya-aiamunichnikov-sw-1</w:t>
      </w:r>
    </w:p>
    <w:bookmarkEnd w:id="125"/>
    <w:bookmarkStart w:id="129" w:name="fig:026"/>
    <w:p>
      <w:pPr>
        <w:pStyle w:val="CaptionedFigure"/>
      </w:pPr>
      <w:r>
        <w:drawing>
          <wp:inline>
            <wp:extent cx="3733800" cy="2410698"/>
            <wp:effectExtent b="0" l="0" r="0" t="0"/>
            <wp:docPr descr="Рис. 27: Настройка агрегирования каналов на msk-donskaya-aiamunichnikov-sw-1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Настройка агрегирования каналов на msk-donskaya-aiamunichnikov-sw-1</w:t>
      </w:r>
    </w:p>
    <w:bookmarkEnd w:id="129"/>
    <w:bookmarkStart w:id="133" w:name="fig:027"/>
    <w:p>
      <w:pPr>
        <w:pStyle w:val="CaptionedFigure"/>
      </w:pPr>
      <w:r>
        <w:drawing>
          <wp:inline>
            <wp:extent cx="3733800" cy="1032607"/>
            <wp:effectExtent b="0" l="0" r="0" t="0"/>
            <wp:docPr descr="Рис. 28: Настройка агрегирования каналов на msk-donskaya-aiamunichnikov-sw-4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Настройка агрегирования каналов на msk-donskaya-aiamunichnikov-sw-4</w:t>
      </w:r>
    </w:p>
    <w:bookmarkEnd w:id="133"/>
    <w:bookmarkStart w:id="137" w:name="fig:028"/>
    <w:p>
      <w:pPr>
        <w:pStyle w:val="CaptionedFigure"/>
      </w:pPr>
      <w:r>
        <w:drawing>
          <wp:inline>
            <wp:extent cx="3733800" cy="2480181"/>
            <wp:effectExtent b="0" l="0" r="0" t="0"/>
            <wp:docPr descr="Рис. 29: Настройка агрегирования каналов на msk-donskaya-aiamunichnikov-sw-4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Настройка агрегирования каналов на msk-donskaya-aiamunichnikov-sw-4</w:t>
      </w:r>
    </w:p>
    <w:bookmarkEnd w:id="137"/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 возможности работы протокола stp и его модификаций по обеспечению отказоустойчивости сети, агрегированию интерфейсов и перераспределения нагрузки между ними</w:t>
      </w:r>
    </w:p>
    <w:bookmarkEnd w:id="139"/>
    <w:bookmarkStart w:id="14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этой команды.</w:t>
      </w:r>
    </w:p>
    <w:bookmarkStart w:id="142" w:name="fig:030"/>
    <w:p>
      <w:pPr>
        <w:pStyle w:val="CaptionedFigure"/>
      </w:pPr>
      <w:r>
        <w:drawing>
          <wp:inline>
            <wp:extent cx="3733800" cy="2390542"/>
            <wp:effectExtent b="0" l="0" r="0" t="0"/>
            <wp:docPr descr="Рис. 30: Просмотр состояния протокола STP для vlan 3" title="" id="140" name="Picture"/>
            <a:graphic>
              <a:graphicData uri="http://schemas.openxmlformats.org/drawingml/2006/picture">
                <pic:pic>
                  <pic:nvPicPr>
                    <pic:cNvPr descr="image/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Просмотр состояния протокола STP для vlan 3</w:t>
      </w:r>
    </w:p>
    <w:bookmarkEnd w:id="142"/>
    <w:p>
      <w:pPr>
        <w:pStyle w:val="Compact"/>
        <w:numPr>
          <w:ilvl w:val="0"/>
          <w:numId w:val="1004"/>
        </w:numPr>
      </w:pPr>
      <w:r>
        <w:t xml:space="preserve">При помощи какой команды можно узнать, в каком режиме, STP или</w:t>
      </w:r>
      <w:r>
        <w:t xml:space="preserve"> </w:t>
      </w:r>
      <w:r>
        <w:t xml:space="preserve">Rapid PVST+, работает устройство? Приведите примеры вывода подобной</w:t>
      </w:r>
      <w:r>
        <w:t xml:space="preserve"> </w:t>
      </w:r>
      <w:r>
        <w:t xml:space="preserve">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bookmarkStart w:id="146" w:name="fig:031"/>
    <w:p>
      <w:pPr>
        <w:pStyle w:val="CaptionedFigure"/>
      </w:pPr>
      <w:r>
        <w:drawing>
          <wp:inline>
            <wp:extent cx="3733800" cy="3645546"/>
            <wp:effectExtent b="0" l="0" r="0" t="0"/>
            <wp:docPr descr="Рис. 31: Команда show ru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Команда show ru</w:t>
      </w:r>
    </w:p>
    <w:bookmarkEnd w:id="146"/>
    <w:p>
      <w:pPr>
        <w:pStyle w:val="Compact"/>
        <w:numPr>
          <w:ilvl w:val="0"/>
          <w:numId w:val="1005"/>
        </w:numPr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pStyle w:val="Compact"/>
        <w:numPr>
          <w:ilvl w:val="0"/>
          <w:numId w:val="1006"/>
        </w:numPr>
      </w:pPr>
      <w:r>
        <w:t xml:space="preserve">В чем состоит принцип работы агрегированного интерфейса? Для чего он</w:t>
      </w:r>
      <w:r>
        <w:t xml:space="preserve"> </w:t>
      </w:r>
      <w:r>
        <w:t xml:space="preserve">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pStyle w:val="Compact"/>
        <w:numPr>
          <w:ilvl w:val="0"/>
          <w:numId w:val="1007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1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18" Target="media/rId118.png" /><Relationship Type="http://schemas.openxmlformats.org/officeDocument/2006/relationships/image" Id="rId30" Target="media/rId30.png" /><Relationship Type="http://schemas.openxmlformats.org/officeDocument/2006/relationships/image" Id="rId143" Target="media/rId143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Амуничников Антон, НПИбд-01-22</dc:creator>
  <dc:language>ru-RU</dc:language>
  <cp:keywords/>
  <dcterms:created xsi:type="dcterms:W3CDTF">2025-04-02T11:19:06Z</dcterms:created>
  <dcterms:modified xsi:type="dcterms:W3CDTF">2025-04-02T11:19:06Z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