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73.png" ContentType="image/png"/>
  <Override PartName="/word/media/rId61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11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Амуничников Антон,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2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2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2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pStyle w:val="Compact"/>
        <w:numPr>
          <w:ilvl w:val="0"/>
          <w:numId w:val="1002"/>
        </w:numPr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</w:t>
            </w:r>
          </w:p>
        </w:tc>
        <w:tc>
          <w:tcPr/>
          <w:p>
            <w:pPr>
              <w:pStyle w:val="Compac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192.0.2.11</w:t>
            </w:r>
          </w:p>
        </w:tc>
        <w:tc>
          <w:tcPr/>
          <w:p>
            <w:pPr>
              <w:pStyle w:val="Compac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192.0.2.12</w:t>
            </w:r>
          </w:p>
        </w:tc>
        <w:tc>
          <w:tcPr/>
          <w:p>
            <w:pPr>
              <w:pStyle w:val="Compac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192.0.2.13</w:t>
            </w:r>
          </w:p>
        </w:tc>
        <w:tc>
          <w:tcPr/>
          <w:p>
            <w:pPr>
              <w:pStyle w:val="Compac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192.0.2.14</w:t>
            </w:r>
          </w:p>
        </w:tc>
        <w:tc>
          <w:tcPr/>
          <w:p>
            <w:pPr>
              <w:pStyle w:val="Compac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 1).</w:t>
      </w:r>
    </w:p>
    <w:bookmarkStart w:id="26" w:name="fig:001"/>
    <w:p>
      <w:pPr>
        <w:pStyle w:val="CaptionedFigure"/>
      </w:pPr>
      <w:r>
        <w:drawing>
          <wp:inline>
            <wp:extent cx="3733800" cy="3509772"/>
            <wp:effectExtent b="0" l="0" r="0" t="0"/>
            <wp:docPr descr="Рис. 1: 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N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bookmarkEnd w:id="26"/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 2).</w:t>
      </w:r>
    </w:p>
    <w:bookmarkStart w:id="30" w:name="fig:002"/>
    <w:p>
      <w:pPr>
        <w:pStyle w:val="CaptionedFigure"/>
      </w:pPr>
      <w:r>
        <w:drawing>
          <wp:inline>
            <wp:extent cx="3733800" cy="3858885"/>
            <wp:effectExtent b="0" l="0" r="0" t="0"/>
            <wp:docPr descr="Рис. 2: Схема L1 сети с выходом в Интернет" title="" id="28" name="Picture"/>
            <a:graphic>
              <a:graphicData uri="http://schemas.openxmlformats.org/drawingml/2006/picture">
                <pic:pic>
                  <pic:nvPicPr>
                    <pic:cNvPr descr="image/L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bookmarkEnd w:id="30"/>
    <w:p>
      <w:pPr>
        <w:pStyle w:val="BodyText"/>
      </w:pPr>
      <w:r>
        <w:t xml:space="preserve">Внесем изменения в схемы L2(рис. 3) и L3 (рис. 4) сети, указав адреса и VLAN сети провайдера и модельной сети Интернета.</w:t>
      </w:r>
    </w:p>
    <w:bookmarkStart w:id="34" w:name="fig:003"/>
    <w:p>
      <w:pPr>
        <w:pStyle w:val="CaptionedFigure"/>
      </w:pPr>
      <w:r>
        <w:drawing>
          <wp:inline>
            <wp:extent cx="3733800" cy="4062845"/>
            <wp:effectExtent b="0" l="0" r="0" t="0"/>
            <wp:docPr descr="Рис. 3: Схема L2 сети с выходом в Интернет" title="" id="32" name="Picture"/>
            <a:graphic>
              <a:graphicData uri="http://schemas.openxmlformats.org/drawingml/2006/picture">
                <pic:pic>
                  <pic:nvPicPr>
                    <pic:cNvPr descr="image/L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758767"/>
            <wp:effectExtent b="0" l="0" r="0" t="0"/>
            <wp:docPr descr="Рис. 4: Схема L3 сети с выходом в Интернет" title="" id="36" name="Picture"/>
            <a:graphic>
              <a:graphicData uri="http://schemas.openxmlformats.org/drawingml/2006/picture">
                <pic:pic>
                  <pic:nvPicPr>
                    <pic:cNvPr descr="image/L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bookmarkEnd w:id="38"/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9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Порт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Access VLAN</w:t>
            </w:r>
          </w:p>
        </w:tc>
        <w:tc>
          <w:tcPr/>
          <w:p>
            <w:pPr>
              <w:pStyle w:val="Compac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Web-server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File-server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Mail-server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Dns-server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</w:pPr>
            <w:r>
              <w:t xml:space="preserve">departments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f0/20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f0/3</w:t>
            </w:r>
          </w:p>
        </w:tc>
        <w:tc>
          <w:tcPr/>
          <w:p>
            <w:pPr>
              <w:pStyle w:val="Compac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f0/4</w:t>
            </w:r>
          </w:p>
        </w:tc>
        <w:tc>
          <w:tcPr/>
          <w:p>
            <w:pPr>
              <w:pStyle w:val="Compac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f0/5</w:t>
            </w:r>
          </w:p>
        </w:tc>
        <w:tc>
          <w:tcPr/>
          <w:p>
            <w:pPr>
              <w:pStyle w:val="Compac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10.128.1.3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10.128.1.4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10.128.1.5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10.128.1.6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192.0.2.1</w:t>
            </w:r>
          </w:p>
        </w:tc>
        <w:tc>
          <w:tcPr/>
          <w:p>
            <w:pPr>
              <w:pStyle w:val="Compac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192.0.2.11</w:t>
            </w:r>
          </w:p>
        </w:tc>
        <w:tc>
          <w:tcPr/>
          <w:p>
            <w:pPr>
              <w:pStyle w:val="Compac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192.0.2.12</w:t>
            </w:r>
          </w:p>
        </w:tc>
        <w:tc>
          <w:tcPr/>
          <w:p>
            <w:pPr>
              <w:pStyle w:val="Compac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192.0.2.13</w:t>
            </w:r>
          </w:p>
        </w:tc>
        <w:tc>
          <w:tcPr/>
          <w:p>
            <w:pPr>
              <w:pStyle w:val="Compac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192.0.2.14</w:t>
            </w:r>
          </w:p>
        </w:tc>
        <w:tc>
          <w:tcPr/>
          <w:p>
            <w:pPr>
              <w:pStyle w:val="Compac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40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</w:t>
      </w:r>
      <w:r>
        <w:t xml:space="preserve"> </w:t>
      </w:r>
      <w:r>
        <w:t xml:space="preserve">Интернета объектам согласно модельным предположениям и схеме L1.</w:t>
      </w:r>
    </w:p>
    <w:bookmarkStart w:id="44" w:name="fig:005"/>
    <w:p>
      <w:pPr>
        <w:pStyle w:val="CaptionedFigure"/>
      </w:pPr>
      <w:r>
        <w:drawing>
          <wp:inline>
            <wp:extent cx="3733800" cy="1699647"/>
            <wp:effectExtent b="0" l="0" r="0" t="0"/>
            <wp:docPr descr="Рис. 5: Размещение новых устройств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bookmarkEnd w:id="44"/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 (рис. 6).</w:t>
      </w:r>
      <w:r>
        <w:t xml:space="preserve"> </w:t>
      </w:r>
      <w:r>
        <w:t xml:space="preserve">Присвоим им соответствующие названия. Перенесем из сети «Донская» оборудование провайдера (рис. 8) и модельной сети Интернета (рис. 9) в соответствующие здания.</w:t>
      </w:r>
    </w:p>
    <w:bookmarkStart w:id="48" w:name="fig:006"/>
    <w:p>
      <w:pPr>
        <w:pStyle w:val="CaptionedFigure"/>
      </w:pPr>
      <w:r>
        <w:drawing>
          <wp:inline>
            <wp:extent cx="3733800" cy="2328566"/>
            <wp:effectExtent b="0" l="0" r="0" t="0"/>
            <wp:docPr descr="Рис. 6: Схема сети в физической рабочей области Packet Tracer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рабочей области Packet Tracer</w:t>
      </w:r>
    </w:p>
    <w:bookmarkEnd w:id="48"/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 7).</w:t>
      </w:r>
    </w:p>
    <w:bookmarkStart w:id="52" w:name="fig:007"/>
    <w:p>
      <w:pPr>
        <w:pStyle w:val="CaptionedFigure"/>
      </w:pPr>
      <w:r>
        <w:drawing>
          <wp:inline>
            <wp:extent cx="3733800" cy="2328566"/>
            <wp:effectExtent b="0" l="0" r="0" t="0"/>
            <wp:docPr descr="Рис. 7: Медиаконвертер с модулями PT-REPEATER-NM-1FFE и PT-REPEATER-NM-1CFE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Медиаконвертер с модулями PT-REPEATER-NM-1FFE и PT-REPEATER-NM-1CFE</w:t>
      </w:r>
    </w:p>
    <w:bookmarkEnd w:id="52"/>
    <w:bookmarkStart w:id="56" w:name="fig:008"/>
    <w:p>
      <w:pPr>
        <w:pStyle w:val="CaptionedFigure"/>
      </w:pPr>
      <w:r>
        <w:drawing>
          <wp:inline>
            <wp:extent cx="3733800" cy="2328566"/>
            <wp:effectExtent b="0" l="0" r="0" t="0"/>
            <wp:docPr descr="Рис. 8: Оборудование в здании сети провайдер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Оборудование в здании сети провайдера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2328566"/>
            <wp:effectExtent b="0" l="0" r="0" t="0"/>
            <wp:docPr descr="Рис. 9: Оборудование в здании сети модельного Интернет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Оборудование в здании сети модельного Интернета</w:t>
      </w:r>
    </w:p>
    <w:bookmarkEnd w:id="60"/>
    <w:p>
      <w:pPr>
        <w:pStyle w:val="BodyText"/>
      </w:pPr>
      <w:r>
        <w:t xml:space="preserve">Проведем соединение объектов согласно скорректированной схеме L1 (рис. 10).</w:t>
      </w:r>
    </w:p>
    <w:bookmarkStart w:id="64" w:name="fig:010"/>
    <w:p>
      <w:pPr>
        <w:pStyle w:val="CaptionedFigure"/>
      </w:pPr>
      <w:r>
        <w:drawing>
          <wp:inline>
            <wp:extent cx="3733800" cy="1699647"/>
            <wp:effectExtent b="0" l="0" r="0" t="0"/>
            <wp:docPr descr="Рис. 10: Схема сети с выходом в Интернет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Схема сети с выходом в Интернет</w:t>
      </w:r>
    </w:p>
    <w:bookmarkEnd w:id="64"/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www.yandex.ru (рис. 10,11).</w:t>
      </w:r>
    </w:p>
    <w:bookmarkStart w:id="68" w:name="fig:011"/>
    <w:p>
      <w:pPr>
        <w:pStyle w:val="CaptionedFigure"/>
      </w:pPr>
      <w:r>
        <w:drawing>
          <wp:inline>
            <wp:extent cx="3733800" cy="3845019"/>
            <wp:effectExtent b="0" l="0" r="0" t="0"/>
            <wp:docPr descr="Рис. 11: Задание адреса шлюза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адреса шлюза</w:t>
      </w:r>
    </w:p>
    <w:bookmarkEnd w:id="68"/>
    <w:bookmarkStart w:id="72" w:name="fig:012"/>
    <w:p>
      <w:pPr>
        <w:pStyle w:val="CaptionedFigure"/>
      </w:pPr>
      <w:r>
        <w:drawing>
          <wp:inline>
            <wp:extent cx="3733800" cy="3845019"/>
            <wp:effectExtent b="0" l="0" r="0" t="0"/>
            <wp:docPr descr="Рис. 12: Задание ip-адреса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ip-адреса</w:t>
      </w:r>
    </w:p>
    <w:bookmarkEnd w:id="72"/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“Донская”</w:t>
      </w:r>
      <w:r>
        <w:t xml:space="preserve"> </w:t>
      </w:r>
      <w:r>
        <w:t xml:space="preserve">(рис. 13).</w:t>
      </w:r>
    </w:p>
    <w:bookmarkStart w:id="76" w:name="fig:013"/>
    <w:p>
      <w:pPr>
        <w:pStyle w:val="CaptionedFigure"/>
      </w:pPr>
      <w:r>
        <w:drawing>
          <wp:inline>
            <wp:extent cx="3733800" cy="3845019"/>
            <wp:effectExtent b="0" l="0" r="0" t="0"/>
            <wp:docPr descr="Рис. 13: Добавление DNS-записей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DNS-записей</w:t>
      </w:r>
    </w:p>
    <w:bookmarkEnd w:id="76"/>
    <w:bookmarkEnd w:id="77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подготовительные мероприятия по подключению локальной сети организации к Интернету.</w:t>
      </w:r>
    </w:p>
    <w:bookmarkStart w:id="78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4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5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6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61" Target="media/rId6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11</dc:title>
  <dc:creator>Амуничников Антон, НПИбд-01-22</dc:creator>
  <dc:language>ru-RU</dc:language>
  <cp:keywords/>
  <dcterms:created xsi:type="dcterms:W3CDTF">2025-04-07T13:05:01Z</dcterms:created>
  <dcterms:modified xsi:type="dcterms:W3CDTF">2025-04-07T13:05:01Z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