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7.png" ContentType="image/png"/>
  <Override PartName="/word/media/rId100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№7</w:t>
      </w:r>
    </w:p>
    <w:p>
      <w:pPr>
        <w:pStyle w:val="Subtitle"/>
      </w:pPr>
      <w:r>
        <w:t xml:space="preserve">Компьютерный практикум по статистическому анализу данных</w:t>
      </w:r>
    </w:p>
    <w:p>
      <w:pPr>
        <w:pStyle w:val="Author"/>
      </w:pPr>
      <w:r>
        <w:t xml:space="preserve">Амуничников Антон Игоревич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Основной целью работы является освоение специализированных пакетов Julia для обработки данных.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Используя JupyterLab, повторите примерыи. При этом дополните графики обозначениями осей координат, легендой с названиями траекторий, названиями графиков и т.п.</w:t>
      </w:r>
    </w:p>
    <w:p>
      <w:pPr>
        <w:numPr>
          <w:ilvl w:val="0"/>
          <w:numId w:val="1001"/>
        </w:numPr>
      </w:pPr>
      <w:r>
        <w:t xml:space="preserve">Выполните задания для самостоятельной работы.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Julia – высокоуровневый свободный язык программирования с динамической типизацией, созданный для математических вычислений</w:t>
      </w:r>
      <w:r>
        <w:t xml:space="preserve"> </w:t>
      </w:r>
      <w:r>
        <w:t xml:space="preserve">[</w:t>
      </w:r>
      <w:r>
        <w:rPr>
          <w:b/>
          <w:bCs/>
        </w:rPr>
        <w:t xml:space="preserve">julialang?</w:t>
      </w:r>
      <w:r>
        <w:t xml:space="preserve">]</w:t>
      </w:r>
      <w:r>
        <w:t xml:space="preserve">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</w:p>
    <w:p>
      <w:pPr>
        <w:pStyle w:val="BodyText"/>
      </w:pPr>
      <w:r>
        <w:t xml:space="preserve">Для выполнения заданий была использована официальная документация Julia</w:t>
      </w:r>
      <w:r>
        <w:t xml:space="preserve"> </w:t>
      </w:r>
      <w:r>
        <w:t xml:space="preserve">[</w:t>
      </w:r>
      <w:r>
        <w:rPr>
          <w:b/>
          <w:bCs/>
        </w:rPr>
        <w:t xml:space="preserve">juliadoc?</w:t>
      </w:r>
      <w:r>
        <w:t xml:space="preserve">]</w:t>
      </w:r>
      <w:r>
        <w:t xml:space="preserve">.</w:t>
      </w:r>
    </w:p>
    <w:bookmarkEnd w:id="22"/>
    <w:bookmarkStart w:id="10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75" w:name="выполнение-примеров"/>
    <w:p>
      <w:pPr>
        <w:pStyle w:val="Heading2"/>
      </w:pPr>
      <w:r>
        <w:t xml:space="preserve">4.1 Выполнение примеров</w:t>
      </w:r>
    </w:p>
    <w:p>
      <w:pPr>
        <w:pStyle w:val="FirstParagraph"/>
      </w:pPr>
      <w:r>
        <w:t xml:space="preserve">Выполним примеры из лабораторной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 </w:t>
      </w:r>
      <w:r>
        <w:t xml:space="preserve">-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48260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2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Считывание данных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85492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4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Запись данных в файл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13774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7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Словари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468109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81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DataFrames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346441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64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RDatasets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483682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36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Работа с переменными отсутствующеготипа (MissingValues)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52506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5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FileIO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484884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488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Кластеризация данных. Метод k-средних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468925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89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Кластеризация данных. Метод k-средних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4794324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9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ластеризация данных. Метод k ближайших соседей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4731142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311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Обработка данных. Метод главных компонент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4880198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801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Обработка данных. Линейная регрессия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1253684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3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Обработка данных. Линейная регрессия</w:t>
            </w:r>
          </w:p>
          <w:bookmarkEnd w:id="74"/>
        </w:tc>
      </w:tr>
    </w:tbl>
    <w:bookmarkEnd w:id="75"/>
    <w:bookmarkStart w:id="104" w:name="самостоятельная-работа"/>
    <w:p>
      <w:pPr>
        <w:pStyle w:val="Heading2"/>
      </w:pPr>
      <w:r>
        <w:t xml:space="preserve">4.2 Самостоятельная работа</w:t>
      </w:r>
    </w:p>
    <w:p>
      <w:pPr>
        <w:pStyle w:val="FirstParagraph"/>
      </w:pPr>
      <w:r>
        <w:t xml:space="preserve">Теперь выполним задания для самостоятельный работы.</w:t>
      </w:r>
    </w:p>
    <w:p>
      <w:pPr>
        <w:pStyle w:val="BodyText"/>
      </w:pPr>
      <w:r>
        <w:t xml:space="preserve">Загрузим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RDatasets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Используем Clustering.jl для кластеризации на основе k-средних. Сделаем точечную диаграмму полученных кластеров. Для этого проиндексируем фрейм данных, преобразуем его в массив и транспонируем (рис.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4875752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75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Кластеризация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2308167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81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Кластеризация</w:t>
            </w:r>
          </w:p>
          <w:bookmarkEnd w:id="83"/>
        </w:tc>
      </w:tr>
    </w:tbl>
    <w:p>
      <w:pPr>
        <w:pStyle w:val="BodyText"/>
      </w:pPr>
      <w:r>
        <w:t xml:space="preserve">Пусть регрессионная зависимость являетсял инейной. Матрица наблюдений факторов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имеет размерность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rPr>
          <w:rStyle w:val="VerbatimChar"/>
        </w:rPr>
        <w:t xml:space="preserve">randn (N, 3)</w:t>
      </w:r>
      <w:r>
        <w:t xml:space="preserve">, массив результато в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, регрессионная зависимость является линейной. Найдем МНК-оценку для линейной модели.</w:t>
      </w:r>
    </w:p>
    <w:p>
      <w:pPr>
        <w:pStyle w:val="Compact"/>
        <w:numPr>
          <w:ilvl w:val="0"/>
          <w:numId w:val="1002"/>
        </w:numPr>
      </w:pPr>
      <w:r>
        <w:t xml:space="preserve">Сравним свои результаты с результатами использования</w:t>
      </w:r>
      <w:r>
        <w:t xml:space="preserve"> </w:t>
      </w:r>
      <w:r>
        <w:rPr>
          <w:rStyle w:val="VerbatimChar"/>
        </w:rPr>
        <w:t xml:space="preserve">llsq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MultivariateStats.jl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Сравним свои результаты с результатамии спользования регулярной регрессии наименьших квадратов из</w:t>
      </w:r>
      <w:r>
        <w:t xml:space="preserve"> </w:t>
      </w:r>
      <w:r>
        <w:rPr>
          <w:rStyle w:val="VerbatimChar"/>
        </w:rPr>
        <w:t xml:space="preserve">GLM.jl</w:t>
      </w:r>
      <w:r>
        <w:t xml:space="preserve">.</w:t>
      </w:r>
    </w:p>
    <w:p>
      <w:pPr>
        <w:pStyle w:val="FirstParagraph"/>
      </w:pPr>
      <w:r>
        <w:t xml:space="preserve">Cоздадим матрицу данных</w:t>
      </w:r>
      <w:r>
        <w:t xml:space="preserve"> </w:t>
      </w:r>
      <m:oMath>
        <m:r>
          <m:t>X</m:t>
        </m:r>
        <m:r>
          <m:t>2</m:t>
        </m:r>
      </m:oMath>
      <w:r>
        <w:t xml:space="preserve">, которая добавляет столбец единиц в начало матрицы данных, и решим систему линейных уравнений.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3733800" cy="4844736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44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Регрессия</w:t>
            </w:r>
          </w:p>
          <w:bookmarkEnd w:id="87"/>
        </w:tc>
      </w:tr>
    </w:tbl>
    <w:p>
      <w:pPr>
        <w:pStyle w:val="BodyText"/>
      </w:pPr>
      <w:r>
        <w:t xml:space="preserve">Найдем линию регрессии, используя данные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. Построем график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 используя точечный график. Добавим линию регрессии, используя abline!. Добавим заголовок «График регрессии» и подпишим оси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3733800" cy="370787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07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Регрессия</w:t>
            </w:r>
          </w:p>
          <w:bookmarkEnd w:id="91"/>
        </w:tc>
      </w:tr>
    </w:tbl>
    <w:p>
      <w:pPr>
        <w:pStyle w:val="BodyText"/>
      </w:pPr>
      <w:r>
        <w:t xml:space="preserve">Построим траекторию возможных цен на акции: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– начальная цена акции;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– длина биномиального дерева в годах;</w:t>
      </w:r>
    </w:p>
    <w:p>
      <w:pPr>
        <w:pStyle w:val="Compact"/>
        <w:numPr>
          <w:ilvl w:val="0"/>
          <w:numId w:val="1003"/>
        </w:numPr>
      </w:pPr>
      <m:oMath>
        <m:r>
          <m:t>n</m:t>
        </m:r>
      </m:oMath>
      <w:r>
        <w:t xml:space="preserve"> </w:t>
      </w:r>
      <w:r>
        <w:t xml:space="preserve">– количество периодов;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=</m:t>
        </m:r>
        <m:r>
          <m:t>T</m:t>
        </m:r>
        <m:r>
          <m:t>n</m:t>
        </m:r>
      </m:oMath>
      <w:r>
        <w:t xml:space="preserve"> </w:t>
      </w:r>
      <w:r>
        <w:t xml:space="preserve">– длина одного периода;</w:t>
      </w:r>
    </w:p>
    <w:p>
      <w:pPr>
        <w:pStyle w:val="Compact"/>
        <w:numPr>
          <w:ilvl w:val="0"/>
          <w:numId w:val="1003"/>
        </w:numPr>
      </w:pPr>
      <m:oMath>
        <m:r>
          <m:t>σ</m:t>
        </m:r>
      </m:oMath>
      <w:r>
        <w:t xml:space="preserve"> </w:t>
      </w:r>
      <w:r>
        <w:t xml:space="preserve">– волатильность акции;</w:t>
      </w:r>
    </w:p>
    <w:p>
      <w:pPr>
        <w:pStyle w:val="Compact"/>
        <w:numPr>
          <w:ilvl w:val="0"/>
          <w:numId w:val="1003"/>
        </w:numPr>
      </w:pPr>
      <m:oMath>
        <m:r>
          <m:t>r</m:t>
        </m:r>
      </m:oMath>
      <w:r>
        <w:t xml:space="preserve"> </w:t>
      </w:r>
      <w:r>
        <w:t xml:space="preserve">– годовая процентная ставка;</w:t>
      </w:r>
    </w:p>
    <w:p>
      <w:pPr>
        <w:pStyle w:val="Compact"/>
        <w:numPr>
          <w:ilvl w:val="0"/>
          <w:numId w:val="1003"/>
        </w:numPr>
      </w:pPr>
      <m:oMath>
        <m:r>
          <m:t>u</m:t>
        </m:r>
        <m:r>
          <m:rPr>
            <m:sty m:val="p"/>
          </m:rPr>
          <m:t>=</m:t>
        </m:r>
        <m:r>
          <m:t>e</m:t>
        </m:r>
        <m:r>
          <m:t>x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h</m:t>
            </m:r>
            <m:r>
              <m:rPr>
                <m:sty m:val="p"/>
              </m:rPr>
              <m:t>+</m:t>
            </m:r>
            <m:r>
              <m:t>σ</m:t>
            </m:r>
            <m:rad>
              <m:radPr>
                <m:degHide m:val="on"/>
              </m:radPr>
              <m:deg/>
              <m:e>
                <m:r>
                  <m:t>h</m:t>
                </m:r>
              </m:e>
            </m:rad>
          </m:e>
        </m:d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d</m:t>
        </m:r>
        <m:r>
          <m:rPr>
            <m:sty m:val="p"/>
          </m:rPr>
          <m:t>=</m:t>
        </m:r>
        <m:r>
          <m:t>e</m:t>
        </m:r>
        <m:r>
          <m:t>x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h</m:t>
            </m:r>
            <m:r>
              <m:rPr>
                <m:sty m:val="p"/>
              </m:rPr>
              <m:t>−</m:t>
            </m:r>
            <m:r>
              <m:t>σ</m:t>
            </m:r>
            <m:rad>
              <m:radPr>
                <m:degHide m:val="on"/>
              </m:radPr>
              <m:deg/>
              <m:e>
                <m:r>
                  <m:t>h</m:t>
                </m:r>
              </m:e>
            </m:rad>
          </m:e>
        </m:d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  <m:r>
              <m:t>x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d</m:t>
            </m:r>
          </m:num>
          <m:den>
            <m:r>
              <m:t>u</m:t>
            </m:r>
            <m:r>
              <m:rPr>
                <m:sty m:val="p"/>
              </m:rPr>
              <m:t>−</m:t>
            </m:r>
            <m:r>
              <m:t>d</m:t>
            </m:r>
          </m:den>
        </m:f>
      </m:oMath>
      <w:r>
        <w:t xml:space="preserve">;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 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n</m:t>
        </m:r>
        <m:r>
          <m:rPr>
            <m:sty m:val="p"/>
          </m:rPr>
          <m:t>=</m:t>
        </m:r>
        <m:r>
          <m:t>10000</m:t>
        </m:r>
        <m:r>
          <m:rPr>
            <m:sty m:val="p"/>
          </m:rPr>
          <m:t>,</m:t>
        </m:r>
        <m:r>
          <m:t> </m:t>
        </m:r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0.08</m:t>
        </m:r>
      </m:oMath>
      <w:r>
        <w:t xml:space="preserve">. Попробуем построить траекторию курса акций.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8"/>
          <w:p>
            <w:pPr>
              <w:pStyle w:val="Compact"/>
              <w:jc w:val="center"/>
            </w:pPr>
            <w:r>
              <w:drawing>
                <wp:inline>
                  <wp:extent cx="3733800" cy="492036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20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Модель ценообразования биномиальных опционов</w:t>
            </w:r>
          </w:p>
          <w:bookmarkEnd w:id="95"/>
        </w:tc>
      </w:tr>
    </w:tbl>
    <w:p>
      <w:pPr>
        <w:pStyle w:val="BodyText"/>
      </w:pPr>
      <w:r>
        <w:t xml:space="preserve">Создадим функцию</w:t>
      </w:r>
      <w:r>
        <w:t xml:space="preserve"> </w:t>
      </w:r>
      <w:r>
        <w:rPr>
          <w:rStyle w:val="VerbatimChar"/>
        </w:rPr>
        <w:t xml:space="preserve">createPath (S ::Float64, r ::Float64, sigma ::Float64, T ::Float64, n ::Int64)</w:t>
      </w:r>
      <w:r>
        <w:t xml:space="preserve">, которая создает траекторию цены акции с учетом начальных параметров. Используем</w:t>
      </w:r>
      <w:r>
        <w:t xml:space="preserve"> </w:t>
      </w:r>
      <w:r>
        <w:rPr>
          <w:rStyle w:val="VerbatimChar"/>
        </w:rPr>
        <w:t xml:space="preserve">createPath</w:t>
      </w:r>
      <w:r>
        <w:t xml:space="preserve">, чтобы создать 10 разных траекторий и построим их все на одном графике.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9"/>
          <w:p>
            <w:pPr>
              <w:pStyle w:val="Compact"/>
              <w:jc w:val="center"/>
            </w:pPr>
            <w:r>
              <w:drawing>
                <wp:inline>
                  <wp:extent cx="3733800" cy="344013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40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Модель ценообразования биномиальных опционов</w:t>
            </w:r>
          </w:p>
          <w:bookmarkEnd w:id="99"/>
        </w:tc>
      </w:tr>
    </w:tbl>
    <w:p>
      <w:pPr>
        <w:pStyle w:val="BodyText"/>
      </w:pPr>
      <w:r>
        <w:t xml:space="preserve">Распараллелим генерацию траектории. Можем использовать</w:t>
      </w:r>
      <w:r>
        <w:t xml:space="preserve"> </w:t>
      </w:r>
      <w:r>
        <w:rPr>
          <w:rStyle w:val="VerbatimChar"/>
        </w:rPr>
        <w:t xml:space="preserve">Threads.@threads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pmap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@parallel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0"/>
          <w:p>
            <w:pPr>
              <w:pStyle w:val="Compact"/>
              <w:jc w:val="center"/>
            </w:pPr>
            <w:r>
              <w:drawing>
                <wp:inline>
                  <wp:extent cx="3733800" cy="345506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55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Распараллелим генерацию траектории</w:t>
            </w:r>
          </w:p>
          <w:bookmarkEnd w:id="103"/>
        </w:tc>
      </w:tr>
    </w:tbl>
    <w:bookmarkEnd w:id="104"/>
    <w:bookmarkEnd w:id="105"/>
    <w:bookmarkStart w:id="10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данной лабораторной работы я освоила специализированные пакеты Julia для обработки данных.</w:t>
      </w:r>
    </w:p>
    <w:bookmarkEnd w:id="106"/>
    <w:bookmarkStart w:id="108" w:name="список-литературы"/>
    <w:p>
      <w:pPr>
        <w:pStyle w:val="Heading1"/>
      </w:pPr>
      <w:r>
        <w:t xml:space="preserve">Список литературы</w:t>
      </w:r>
    </w:p>
    <w:bookmarkStart w:id="107" w:name="refs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7" Target="media/rId27.png" /><Relationship Type="http://schemas.openxmlformats.org/officeDocument/2006/relationships/image" Id="rId100" Target="media/rId100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Амуничников Антон Игоревич</dc:creator>
  <dc:language>ru-RU</dc:language>
  <cp:keywords/>
  <dcterms:created xsi:type="dcterms:W3CDTF">2025-12-06T15:51:19Z</dcterms:created>
  <dcterms:modified xsi:type="dcterms:W3CDTF">2025-12-06T15:51:19Z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Компьютерный практикум по статистическому анализу данных</vt:lpwstr>
  </property>
  <property fmtid="{D5CDD505-2E9C-101B-9397-08002B2CF9AE}" pid="16" name="toc-title">
    <vt:lpwstr>Содержание</vt:lpwstr>
  </property>
</Properties>
</file>