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7.png" ContentType="image/png"/>
  <Override PartName="/word/media/rId100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№6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Амуничников Антон Игоревич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 задач в непрерывном и дискретном времени.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Используя JupyterLab, повторите примерыи. При этом дополните графики обозначениями осей координат, легендой с названиями траекторий, названиями графиков и т.п.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 </w:t>
      </w:r>
      <w:r>
        <w:t xml:space="preserve">[</w:t>
      </w:r>
      <w:r>
        <w:rPr>
          <w:b/>
          <w:bCs/>
        </w:rPr>
        <w:t xml:space="preserve">julialang?</w:t>
      </w:r>
      <w:r>
        <w:t xml:space="preserve">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Для выполнения заданий была использована официальная документация Julia</w:t>
      </w:r>
      <w:r>
        <w:t xml:space="preserve"> </w:t>
      </w:r>
      <w:r>
        <w:t xml:space="preserve">[</w:t>
      </w:r>
      <w:r>
        <w:rPr>
          <w:b/>
          <w:bCs/>
        </w:rPr>
        <w:t xml:space="preserve">juliadoc?</w:t>
      </w:r>
      <w:r>
        <w:t xml:space="preserve">]</w:t>
      </w:r>
      <w:r>
        <w:t xml:space="preserve">.</w:t>
      </w:r>
    </w:p>
    <w:bookmarkEnd w:id="22"/>
    <w:bookmarkStart w:id="10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7" w:name="выполнение-примеров"/>
    <w:p>
      <w:pPr>
        <w:pStyle w:val="Heading2"/>
      </w:pPr>
      <w:r>
        <w:t xml:space="preserve">4.1 Выполнение примеров</w:t>
      </w:r>
    </w:p>
    <w:p>
      <w:pPr>
        <w:pStyle w:val="FirstParagraph"/>
      </w:pPr>
      <w:r>
        <w:t xml:space="preserve">Выполним примеры из лабораторной работы для знакомства с работой с различными моделями и способами их задания решения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 </w:t>
      </w:r>
      <w:r>
        <w:t xml:space="preserve">-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80152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1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Модель экспоненциального роста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71792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7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Модель экспоненциального роста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463220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32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Система Лоренца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342102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Система Лоренца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32910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9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Модель Лотки–Вольтерры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00335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3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Модель Лотки–Вольтерры</w:t>
            </w:r>
          </w:p>
          <w:bookmarkEnd w:id="46"/>
        </w:tc>
      </w:tr>
    </w:tbl>
    <w:bookmarkEnd w:id="47"/>
    <w:bookmarkStart w:id="104" w:name="задания-для-самостоятельной-работы"/>
    <w:p>
      <w:pPr>
        <w:pStyle w:val="Heading2"/>
      </w:pPr>
      <w:r>
        <w:t xml:space="preserve">4.2 Задания для самостоятельной работы</w:t>
      </w:r>
    </w:p>
    <w:p>
      <w:pPr>
        <w:pStyle w:val="Compact"/>
        <w:numPr>
          <w:ilvl w:val="0"/>
          <w:numId w:val="1002"/>
        </w:numPr>
      </w:pPr>
      <w:r>
        <w:t xml:space="preserve">Реализуем и проанализируем модель роста численности изолированной популяции(модель Мальтуса):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– численность изолированной популяции в момент времени</w:t>
      </w:r>
      <w:r>
        <w:t xml:space="preserve"> </w:t>
      </w:r>
      <m:oMath>
        <m:r>
          <m:t>t</m:t>
        </m:r>
      </m:oMath>
      <w:r>
        <w:t xml:space="preserve">,</w:t>
      </w:r>
      <m:oMath>
        <m:r>
          <m:t>a</m:t>
        </m:r>
      </m:oMath>
      <w:r>
        <w:t xml:space="preserve"> </w:t>
      </w:r>
      <w:r>
        <w:t xml:space="preserve">– коэффициент роста популяции,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коэффициент рождаемости,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коэффициент смертности. Построим соответствующие графики (в том числе с анимацией)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 </w:t>
      </w:r>
      <w:r>
        <w:t xml:space="preserve">-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425419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54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Модель Мальтуса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3170207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02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Модель Мальтуса</w:t>
            </w:r>
          </w:p>
          <w:bookmarkEnd w:id="55"/>
        </w:tc>
      </w:tr>
    </w:tbl>
    <w:p>
      <w:pPr>
        <w:pStyle w:val="Compact"/>
        <w:numPr>
          <w:ilvl w:val="0"/>
          <w:numId w:val="1003"/>
        </w:numPr>
      </w:pPr>
      <w:r>
        <w:t xml:space="preserve">Реализуем и проанализируем логистическую модель роста популяции: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r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k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коэффициент роста популяции,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потенциальная ёмкость экологической системы (предельное значение численности популяции).</w:t>
      </w:r>
      <w:r>
        <w:t xml:space="preserve"> </w:t>
      </w:r>
      <w:r>
        <w:t xml:space="preserve">Построим соответствующие графики (в том числе с анимацией)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 </w:t>
      </w:r>
      <w:r>
        <w:t xml:space="preserve">-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375955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Логистическая модель роста популяции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3575755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5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Логистическая модель роста популяции</w:t>
            </w:r>
          </w:p>
          <w:bookmarkEnd w:id="63"/>
        </w:tc>
      </w:tr>
    </w:tbl>
    <w:p>
      <w:pPr>
        <w:pStyle w:val="Compact"/>
        <w:numPr>
          <w:ilvl w:val="0"/>
          <w:numId w:val="1004"/>
        </w:numPr>
      </w:pPr>
      <w:r>
        <w:t xml:space="preserve">Реализуем и проанализируем логистическую модель эпидемии Кермака–Маккендрика (SIR-модель):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– численность восприимчивой популяции,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– численность инфицированных,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численность удаленной популяции (в результате смерти или выздоровления), 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это сумма этих трёх, 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- это коэффициенты заболеваемости и выздоровления соответственно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 </w:t>
      </w:r>
      <w:r>
        <w:t xml:space="preserve">-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312921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9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SIR-модель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198119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1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SIR-модель</w:t>
            </w:r>
          </w:p>
          <w:bookmarkEnd w:id="71"/>
        </w:tc>
      </w:tr>
    </w:tbl>
    <w:p>
      <w:pPr>
        <w:pStyle w:val="Compact"/>
        <w:numPr>
          <w:ilvl w:val="0"/>
          <w:numId w:val="1005"/>
        </w:numPr>
      </w:pPr>
      <w:r>
        <w:t xml:space="preserve">Как расширение модели SIR (Susceptible-Infected-Removed) по результатам эпидемии испанки была предложена модель SEIR (Susceptible-Exposed-Infected-Removed)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S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β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E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β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t>I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δ</m:t>
                    </m:r>
                    <m: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I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497839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78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SEIR-модель</w:t>
            </w:r>
          </w:p>
          <w:bookmarkEnd w:id="75"/>
        </w:tc>
      </w:tr>
    </w:tbl>
    <w:p>
      <w:pPr>
        <w:pStyle w:val="Compact"/>
        <w:numPr>
          <w:ilvl w:val="0"/>
          <w:numId w:val="1006"/>
        </w:numPr>
      </w:pPr>
      <w:r>
        <w:t xml:space="preserve">Для дискретной модели Лотки–Вольтерры: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данными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найдем точку равновесия. Получим и сравним аналитическое и численное решения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4872236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72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Дискретная модель Лотки–Вольтерры</w:t>
            </w:r>
          </w:p>
          <w:bookmarkEnd w:id="79"/>
        </w:tc>
      </w:tr>
    </w:tbl>
    <w:p>
      <w:pPr>
        <w:pStyle w:val="Compact"/>
        <w:numPr>
          <w:ilvl w:val="0"/>
          <w:numId w:val="1007"/>
        </w:numPr>
      </w:pPr>
      <w:r>
        <w:t xml:space="preserve">Реализуем на языке Julia модель отбора на основе конкурентных отношений: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Построим соответствующие графики (в том числе с анимацией) и фазовый портрет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 </w:t>
      </w:r>
      <w:r>
        <w:t xml:space="preserve">-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481111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11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Модель отбора на основе конкурентных отношений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5388908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88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Модель отбора на основе конкурентных отношений</w:t>
            </w:r>
          </w:p>
          <w:bookmarkEnd w:id="87"/>
        </w:tc>
      </w:tr>
    </w:tbl>
    <w:p>
      <w:pPr>
        <w:pStyle w:val="Compact"/>
        <w:numPr>
          <w:ilvl w:val="0"/>
          <w:numId w:val="1008"/>
        </w:numPr>
      </w:pPr>
      <w:r>
        <w:t xml:space="preserve">Реализуем на языке Julia модель консервативного гармонического осциллятора: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x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Построим соответствующие графики (в том числе с анимацией) и фазовый портрет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 </w:t>
      </w:r>
      <w:r>
        <w:t xml:space="preserve">-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3001814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1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Модель консервативного гармонического осциллятора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3717566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7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Модель консервативного гармонического осциллятора</w:t>
            </w:r>
          </w:p>
          <w:bookmarkEnd w:id="95"/>
        </w:tc>
      </w:tr>
    </w:tbl>
    <w:p>
      <w:pPr>
        <w:pStyle w:val="Compact"/>
        <w:numPr>
          <w:ilvl w:val="0"/>
          <w:numId w:val="1009"/>
        </w:numPr>
      </w:pPr>
      <w:r>
        <w:t xml:space="preserve">Реализуем на языке Julia модель свободных колебаний гармонического осциллятора: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acc>
            <m:accPr>
              <m:chr m:val="̇"/>
            </m:accPr>
            <m:e>
              <m:r>
                <m:t>x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Построим соответствующие графики (в том числе с анимацией) и фазовый портрет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 </w:t>
      </w:r>
      <w:r>
        <w:t xml:space="preserve">-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422707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7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Модель свободных колебаний гармонического осциллятора</w:t>
            </w:r>
          </w:p>
          <w:bookmarkEnd w:id="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5382895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82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Модель свободных колебаний гармонического осциллятора</w:t>
            </w:r>
          </w:p>
          <w:bookmarkEnd w:id="103"/>
        </w:tc>
      </w:tr>
    </w:tbl>
    <w:bookmarkEnd w:id="104"/>
    <w:bookmarkEnd w:id="105"/>
    <w:bookmarkStart w:id="10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 специализированные пакеты для решения задач в непрерывном и дискретном времени.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100" Target="media/rId10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Амуничников Антон Игоревич</dc:creator>
  <dc:language>ru-RU</dc:language>
  <cp:keywords/>
  <dcterms:created xsi:type="dcterms:W3CDTF">2025-11-22T14:48:40Z</dcterms:created>
  <dcterms:modified xsi:type="dcterms:W3CDTF">2025-11-22T14:48:40Z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Компьютерный практикум по статистическому анализу данных</vt:lpwstr>
  </property>
  <property fmtid="{D5CDD505-2E9C-101B-9397-08002B2CF9AE}" pid="16" name="toc-title">
    <vt:lpwstr>Содержание</vt:lpwstr>
  </property>
</Properties>
</file>