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Sumar executiv al disciplinei</w:t>
      </w:r>
    </w:p>
    <w:p/>
    <w:p>
      <w:pPr>
        <w:pStyle w:val="Heading1"/>
      </w:pPr>
      <w:r>
        <w:t>2. Scopul și obiectivele cursului</w:t>
      </w:r>
    </w:p>
    <w:p/>
    <w:p>
      <w:pPr>
        <w:pStyle w:val="Heading1"/>
      </w:pPr>
      <w:r>
        <w:t>3. Course identification / Identificarea disciplinei</w:t>
      </w:r>
    </w:p>
    <w:p/>
    <w:p>
      <w:pPr>
        <w:pStyle w:val="Heading1"/>
      </w:pPr>
      <w:r>
        <w:t>4. Date despre programul de studii</w:t>
      </w:r>
    </w:p>
    <w:p/>
    <w:p>
      <w:pPr>
        <w:pStyle w:val="Heading1"/>
      </w:pPr>
      <w:r>
        <w:t>5. Volum de muncă și distribuție orară</w:t>
      </w:r>
    </w:p>
    <w:p/>
    <w:p>
      <w:pPr>
        <w:pStyle w:val="Heading1"/>
      </w:pPr>
      <w:r>
        <w:t>6. Cerințe prealabile (cunoștințe și competențe)</w:t>
      </w:r>
    </w:p>
    <w:p/>
    <w:p>
      <w:pPr>
        <w:pStyle w:val="Heading1"/>
      </w:pPr>
      <w:r>
        <w:t>7. Resurse logistice necesare</w:t>
      </w:r>
    </w:p>
    <w:p/>
    <w:p>
      <w:pPr>
        <w:pStyle w:val="Heading1"/>
      </w:pPr>
      <w:r>
        <w:t>8. Rezultate ale învățării (learning outcomes)</w:t>
      </w:r>
    </w:p>
    <w:p/>
    <w:p>
      <w:pPr>
        <w:pStyle w:val="Heading1"/>
      </w:pPr>
      <w:r>
        <w:t>9. Strategii didactice și metode de predare</w:t>
      </w:r>
    </w:p>
    <w:p/>
    <w:p>
      <w:pPr>
        <w:pStyle w:val="Heading1"/>
      </w:pPr>
      <w:r>
        <w:t>10. Conținut tematic — curs</w:t>
      </w:r>
    </w:p>
    <w:p/>
    <w:p>
      <w:pPr>
        <w:pStyle w:val="Heading1"/>
      </w:pPr>
      <w:r>
        <w:t>11. Conținut tematic — seminar</w:t>
      </w:r>
    </w:p>
    <w:p/>
    <w:p>
      <w:pPr>
        <w:pStyle w:val="Heading1"/>
      </w:pPr>
      <w:r>
        <w:t>12. Conținut tematic — laborator</w:t>
      </w:r>
    </w:p>
    <w:p/>
    <w:p>
      <w:pPr>
        <w:pStyle w:val="Heading1"/>
      </w:pPr>
      <w:r>
        <w:t>13. Conținut tematic — proiect</w:t>
      </w:r>
    </w:p>
    <w:p/>
    <w:p>
      <w:pPr>
        <w:pStyle w:val="Heading1"/>
      </w:pPr>
      <w:r>
        <w:t>14. Evaluare</w:t>
      </w:r>
    </w:p>
    <w:p/>
    <w:p>
      <w:pPr>
        <w:pStyle w:val="Heading1"/>
      </w:pPr>
      <w:r>
        <w:t>15. Politica privind frauda academică</w:t>
      </w:r>
    </w:p>
    <w:p/>
    <w:p>
      <w:pPr>
        <w:pStyle w:val="Heading1"/>
      </w:pPr>
      <w:r>
        <w:t>16. Alinierea cu piața muncii și mediul academic internațional</w:t>
      </w:r>
    </w:p>
    <w:p/>
    <w:p>
      <w:pPr>
        <w:pStyle w:val="Heading1"/>
      </w:pPr>
      <w:r>
        <w:t>17. Bibliografie / References</w:t>
      </w:r>
    </w:p>
    <w:p/>
    <w:p>
      <w:pPr>
        <w:pStyle w:val="Heading1"/>
      </w:pPr>
      <w:r>
        <w:t>18. Resurse online și platforme suport</w:t>
      </w:r>
    </w:p>
    <w:p/>
    <w:p>
      <w:pPr>
        <w:pStyle w:val="Heading1"/>
      </w:pPr>
      <w:r>
        <w:t>19. Aprobări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Titular curs</w:t>
            </w:r>
          </w:p>
        </w:tc>
        <w:tc>
          <w:tcPr>
            <w:tcW w:type="dxa" w:w="4320"/>
          </w:tcPr>
          <w:p>
            <w:r>
              <w:t>Titular seminar/laborator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