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51782" w14:textId="1ED8E432" w:rsidR="0098797E" w:rsidRPr="00E11BBC" w:rsidRDefault="00E11BBC" w:rsidP="00E11BBC">
      <w:pPr>
        <w:jc w:val="center"/>
        <w:rPr>
          <w:rFonts w:ascii="Inter-Regular" w:eastAsia="Times New Roman" w:hAnsi="Inter-Regular" w:cs="Times New Roman"/>
          <w:b/>
          <w:bCs/>
          <w:color w:val="271A38"/>
          <w:sz w:val="34"/>
          <w:szCs w:val="44"/>
          <w:lang w:eastAsia="fr-FR"/>
        </w:rPr>
      </w:pPr>
      <w:r w:rsidRPr="00E11BBC">
        <w:rPr>
          <w:rFonts w:ascii="Inter-Regular" w:eastAsia="Times New Roman" w:hAnsi="Inter-Regular" w:cs="Times New Roman"/>
          <w:b/>
          <w:bCs/>
          <w:color w:val="271A38"/>
          <w:sz w:val="34"/>
          <w:szCs w:val="44"/>
          <w:lang w:eastAsia="fr-FR"/>
        </w:rPr>
        <w:t>Note méthodologique</w:t>
      </w:r>
    </w:p>
    <w:p w14:paraId="59639E88" w14:textId="77777777" w:rsidR="0098797E" w:rsidRPr="0098797E" w:rsidRDefault="0098797E" w:rsidP="0098797E">
      <w:pPr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</w:pPr>
    </w:p>
    <w:p w14:paraId="5DC5AC1C" w14:textId="36FC8555" w:rsidR="0098797E" w:rsidRPr="00B63E0F" w:rsidRDefault="0098797E" w:rsidP="00E11BBC">
      <w:pPr>
        <w:pStyle w:val="Paragraphedeliste"/>
        <w:numPr>
          <w:ilvl w:val="0"/>
          <w:numId w:val="2"/>
        </w:numPr>
        <w:rPr>
          <w:rFonts w:ascii="Inter-Regular" w:eastAsia="Times New Roman" w:hAnsi="Inter-Regular" w:cs="Times New Roman"/>
          <w:b/>
          <w:bCs/>
          <w:color w:val="271A38"/>
          <w:sz w:val="24"/>
          <w:szCs w:val="24"/>
          <w:u w:val="single"/>
          <w:lang w:eastAsia="fr-FR"/>
        </w:rPr>
      </w:pPr>
      <w:r w:rsidRPr="00B63E0F">
        <w:rPr>
          <w:rFonts w:ascii="Inter-Regular" w:eastAsia="Times New Roman" w:hAnsi="Inter-Regular" w:cs="Times New Roman"/>
          <w:b/>
          <w:bCs/>
          <w:color w:val="271A38"/>
          <w:sz w:val="24"/>
          <w:szCs w:val="24"/>
          <w:u w:val="single"/>
          <w:lang w:eastAsia="fr-FR"/>
        </w:rPr>
        <w:t xml:space="preserve">Partie 1 : </w:t>
      </w:r>
      <w:r w:rsidR="00E11BBC" w:rsidRPr="00B63E0F">
        <w:rPr>
          <w:rFonts w:ascii="Inter-Regular" w:eastAsia="Times New Roman" w:hAnsi="Inter-Regular" w:cs="Times New Roman"/>
          <w:b/>
          <w:bCs/>
          <w:color w:val="271A38"/>
          <w:sz w:val="24"/>
          <w:szCs w:val="24"/>
          <w:u w:val="single"/>
          <w:lang w:eastAsia="fr-FR"/>
        </w:rPr>
        <w:t>Méthodologie d’entraînement du modèle</w:t>
      </w:r>
    </w:p>
    <w:p w14:paraId="659517F1" w14:textId="77777777" w:rsidR="00BE7C9D" w:rsidRDefault="00BE7C9D" w:rsidP="0098797E">
      <w:pPr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</w:pPr>
    </w:p>
    <w:p w14:paraId="4A29073B" w14:textId="6633A02F" w:rsidR="0098797E" w:rsidRPr="0098797E" w:rsidRDefault="00E11BBC" w:rsidP="0098797E">
      <w:pPr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</w:pPr>
      <w:r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>Nous entraînons</w:t>
      </w:r>
      <w:r w:rsidR="0098797E" w:rsidRPr="0098797E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 xml:space="preserve"> un modèle de classification binaire pour établir si un client est à risque de défaut de paiement pour un crédit (valeur 1) ou non (valeur 0). Nous allons comparer plusieurs modèles : </w:t>
      </w:r>
      <w:proofErr w:type="spellStart"/>
      <w:r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>DummyClassifier</w:t>
      </w:r>
      <w:proofErr w:type="spellEnd"/>
      <w:r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 xml:space="preserve">, </w:t>
      </w:r>
      <w:proofErr w:type="spellStart"/>
      <w:r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>LogisticRegression</w:t>
      </w:r>
      <w:proofErr w:type="spellEnd"/>
      <w:r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 xml:space="preserve">, </w:t>
      </w:r>
      <w:proofErr w:type="spellStart"/>
      <w:r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>LightGradientBoostingModel</w:t>
      </w:r>
      <w:proofErr w:type="spellEnd"/>
      <w:r w:rsidR="0098797E" w:rsidRPr="0098797E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 xml:space="preserve">, </w:t>
      </w:r>
      <w:r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 xml:space="preserve">et </w:t>
      </w:r>
      <w:proofErr w:type="spellStart"/>
      <w:r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>RandomForestClassifier</w:t>
      </w:r>
      <w:proofErr w:type="spellEnd"/>
      <w:r w:rsidR="0098797E" w:rsidRPr="0098797E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 xml:space="preserve">. </w:t>
      </w:r>
    </w:p>
    <w:p w14:paraId="4249CA6D" w14:textId="206C68C8" w:rsidR="0098797E" w:rsidRPr="0098797E" w:rsidRDefault="0098797E" w:rsidP="0098797E">
      <w:pPr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</w:pPr>
      <w:r w:rsidRPr="0098797E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 xml:space="preserve">Pour sélectionner le meilleur modèle, nous utilisons une méthode de </w:t>
      </w:r>
      <w:r w:rsidR="00E11BBC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>validation croisée</w:t>
      </w:r>
      <w:r w:rsidRPr="0098797E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 xml:space="preserve"> avec </w:t>
      </w:r>
      <w:proofErr w:type="spellStart"/>
      <w:r w:rsidRPr="0098797E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>RandomizedSearch</w:t>
      </w:r>
      <w:proofErr w:type="spellEnd"/>
      <w:r w:rsidRPr="0098797E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 xml:space="preserve">. Cela nous permet d'explorer différentes combinaisons d'hyperparamètres pour chaque modèle et d'évaluer leur performance. </w:t>
      </w:r>
    </w:p>
    <w:p w14:paraId="23E77DBC" w14:textId="5D9DB5C8" w:rsidR="0098797E" w:rsidRPr="0098797E" w:rsidRDefault="0098797E" w:rsidP="0098797E">
      <w:pPr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</w:pPr>
      <w:r w:rsidRPr="0098797E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 xml:space="preserve">Après avoir sélectionné le meilleur modèle, nous identifions les </w:t>
      </w:r>
      <w:r w:rsidR="0027071F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>dix</w:t>
      </w:r>
      <w:r w:rsidRPr="0098797E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 xml:space="preserve"> </w:t>
      </w:r>
      <w:proofErr w:type="spellStart"/>
      <w:r w:rsidRPr="0098797E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>features</w:t>
      </w:r>
      <w:proofErr w:type="spellEnd"/>
      <w:r w:rsidRPr="0098797E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 xml:space="preserve"> les plus importantes. Ensuite, nous réentraînons le modèle en utilisant uniquement ces </w:t>
      </w:r>
      <w:r w:rsidR="0027071F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>dix</w:t>
      </w:r>
      <w:r w:rsidRPr="0098797E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 xml:space="preserve"> </w:t>
      </w:r>
      <w:proofErr w:type="spellStart"/>
      <w:r w:rsidRPr="0098797E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>features</w:t>
      </w:r>
      <w:proofErr w:type="spellEnd"/>
      <w:r w:rsidRPr="0098797E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 xml:space="preserve"> et calculons le seuil de probabilité de prédiction pour lequel la fonction de coût est minimisée.</w:t>
      </w:r>
    </w:p>
    <w:p w14:paraId="02CF4960" w14:textId="77777777" w:rsidR="0098797E" w:rsidRPr="0098797E" w:rsidRDefault="0098797E" w:rsidP="0098797E">
      <w:pPr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</w:pPr>
    </w:p>
    <w:p w14:paraId="653EA491" w14:textId="02144383" w:rsidR="0098797E" w:rsidRPr="00B63E0F" w:rsidRDefault="0098797E" w:rsidP="00B63E0F">
      <w:pPr>
        <w:pStyle w:val="Paragraphedeliste"/>
        <w:numPr>
          <w:ilvl w:val="0"/>
          <w:numId w:val="2"/>
        </w:numPr>
        <w:rPr>
          <w:rFonts w:ascii="Inter-Regular" w:eastAsia="Times New Roman" w:hAnsi="Inter-Regular" w:cs="Times New Roman"/>
          <w:b/>
          <w:bCs/>
          <w:color w:val="271A38"/>
          <w:sz w:val="24"/>
          <w:szCs w:val="24"/>
          <w:u w:val="single"/>
          <w:lang w:eastAsia="fr-FR"/>
        </w:rPr>
      </w:pPr>
      <w:r w:rsidRPr="00B63E0F">
        <w:rPr>
          <w:rFonts w:ascii="Inter-Regular" w:eastAsia="Times New Roman" w:hAnsi="Inter-Regular" w:cs="Times New Roman"/>
          <w:b/>
          <w:bCs/>
          <w:color w:val="271A38"/>
          <w:sz w:val="24"/>
          <w:szCs w:val="24"/>
          <w:u w:val="single"/>
          <w:lang w:eastAsia="fr-FR"/>
        </w:rPr>
        <w:t>Partie 2 : Traitement du déséquilibre des classes</w:t>
      </w:r>
    </w:p>
    <w:p w14:paraId="2F3C2D77" w14:textId="77777777" w:rsidR="0098797E" w:rsidRPr="0098797E" w:rsidRDefault="0098797E" w:rsidP="0098797E">
      <w:pPr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</w:pPr>
    </w:p>
    <w:p w14:paraId="160F9599" w14:textId="36143442" w:rsidR="0098797E" w:rsidRPr="0098797E" w:rsidRDefault="0098797E" w:rsidP="0098797E">
      <w:pPr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</w:pPr>
      <w:r w:rsidRPr="0098797E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 xml:space="preserve">Dans cette partie, nous abordons le déséquilibre des classes dans nos données, avec seulement </w:t>
      </w:r>
      <w:r w:rsidR="00CD6BCD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>8</w:t>
      </w:r>
      <w:r w:rsidR="009E10E5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>-9</w:t>
      </w:r>
      <w:r w:rsidRPr="0098797E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>% de clients à risque de défaut de paiement dans la base. Pour rétablir l'équilibre, nous appliquons la méthode SMOTE (</w:t>
      </w:r>
      <w:proofErr w:type="spellStart"/>
      <w:r w:rsidRPr="0098797E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>Synthetic</w:t>
      </w:r>
      <w:proofErr w:type="spellEnd"/>
      <w:r w:rsidRPr="0098797E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 xml:space="preserve"> </w:t>
      </w:r>
      <w:proofErr w:type="spellStart"/>
      <w:r w:rsidRPr="0098797E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>Minority</w:t>
      </w:r>
      <w:proofErr w:type="spellEnd"/>
      <w:r w:rsidRPr="0098797E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 xml:space="preserve"> Over-sampling Technique) avec un SVM (Support </w:t>
      </w:r>
      <w:proofErr w:type="spellStart"/>
      <w:r w:rsidRPr="0098797E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>Vector</w:t>
      </w:r>
      <w:proofErr w:type="spellEnd"/>
      <w:r w:rsidRPr="0098797E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 xml:space="preserve"> Machine).</w:t>
      </w:r>
    </w:p>
    <w:p w14:paraId="6EEACFFE" w14:textId="6189A65A" w:rsidR="0098797E" w:rsidRDefault="0098797E" w:rsidP="0098797E">
      <w:pPr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</w:pPr>
      <w:r w:rsidRPr="0098797E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>Le SMOTE permet de générer des échantillons synthétiques pour les clients à risque de défaut de paiement afin d'augmenter leur nombre et d'équilibrer les classes. En utilisant un SVM, nous apprenons à séparer efficacement les deux classes équilibrées pour la classification.</w:t>
      </w:r>
    </w:p>
    <w:p w14:paraId="42E93AD4" w14:textId="77777777" w:rsidR="00BE7C9D" w:rsidRPr="0098797E" w:rsidRDefault="00BE7C9D" w:rsidP="0098797E">
      <w:pPr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</w:pPr>
    </w:p>
    <w:p w14:paraId="413A3311" w14:textId="39C8EA3A" w:rsidR="0098797E" w:rsidRDefault="00B377CF" w:rsidP="00B377CF">
      <w:pPr>
        <w:pStyle w:val="Paragraphedeliste"/>
        <w:numPr>
          <w:ilvl w:val="0"/>
          <w:numId w:val="2"/>
        </w:numPr>
        <w:rPr>
          <w:rFonts w:ascii="Inter-Regular" w:eastAsia="Times New Roman" w:hAnsi="Inter-Regular" w:cs="Times New Roman"/>
          <w:b/>
          <w:bCs/>
          <w:color w:val="271A38"/>
          <w:sz w:val="24"/>
          <w:szCs w:val="24"/>
          <w:u w:val="single"/>
          <w:lang w:eastAsia="fr-FR"/>
        </w:rPr>
      </w:pPr>
      <w:r w:rsidRPr="00B377CF">
        <w:rPr>
          <w:rFonts w:ascii="Inter-Regular" w:eastAsia="Times New Roman" w:hAnsi="Inter-Regular" w:cs="Times New Roman"/>
          <w:b/>
          <w:bCs/>
          <w:color w:val="271A38"/>
          <w:sz w:val="24"/>
          <w:szCs w:val="24"/>
          <w:u w:val="single"/>
          <w:lang w:eastAsia="fr-FR"/>
        </w:rPr>
        <w:t>Partie 3 : fonction de coût métier, algorithme d’optimisation et métrique d’évaluation</w:t>
      </w:r>
    </w:p>
    <w:p w14:paraId="19CD2777" w14:textId="77777777" w:rsidR="00BE7C9D" w:rsidRDefault="00BE7C9D" w:rsidP="00BE7C9D">
      <w:pPr>
        <w:pStyle w:val="Paragraphedeliste"/>
        <w:rPr>
          <w:rFonts w:ascii="Inter-Regular" w:eastAsia="Times New Roman" w:hAnsi="Inter-Regular" w:cs="Times New Roman"/>
          <w:b/>
          <w:bCs/>
          <w:color w:val="271A38"/>
          <w:sz w:val="24"/>
          <w:szCs w:val="24"/>
          <w:u w:val="single"/>
          <w:lang w:eastAsia="fr-FR"/>
        </w:rPr>
      </w:pPr>
    </w:p>
    <w:p w14:paraId="616AD2CE" w14:textId="15F1C2B5" w:rsidR="00B377CF" w:rsidRDefault="00B377CF" w:rsidP="00B377CF">
      <w:pPr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</w:pPr>
      <w:r w:rsidRPr="00B377CF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>Un</w:t>
      </w:r>
      <w:r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>e mauvaise catégorisation des client</w:t>
      </w:r>
      <w:r w:rsidR="0027071F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 xml:space="preserve">s entraîne des coûts à l’organisme de crédit dans une proportion </w:t>
      </w:r>
      <w:proofErr w:type="gramStart"/>
      <w:r w:rsidR="0027071F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>de un</w:t>
      </w:r>
      <w:proofErr w:type="gramEnd"/>
      <w:r w:rsidR="0027071F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 xml:space="preserve"> client à risque mal identifié (</w:t>
      </w:r>
      <w:r w:rsidR="001E0427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 xml:space="preserve">Taux de </w:t>
      </w:r>
      <w:r w:rsidR="0027071F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>Faux Négatifs) pour dix clients sûrs considérés à tort comme risqués (</w:t>
      </w:r>
      <w:r w:rsidR="001E0427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 xml:space="preserve">Taux de </w:t>
      </w:r>
      <w:r w:rsidR="0027071F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>Faux Positifs). Ce qui nous donne la fonction de coût suivante :</w:t>
      </w:r>
    </w:p>
    <w:p w14:paraId="273727B5" w14:textId="164FFF54" w:rsidR="0027071F" w:rsidRDefault="0027071F" w:rsidP="0027071F">
      <w:pPr>
        <w:jc w:val="center"/>
        <w:rPr>
          <w:rFonts w:ascii="Inter-Regular" w:eastAsia="Times New Roman" w:hAnsi="Inter-Regular" w:cs="Times New Roman"/>
          <w:i/>
          <w:iCs/>
          <w:color w:val="271A38"/>
          <w:sz w:val="40"/>
          <w:szCs w:val="56"/>
          <w:lang w:eastAsia="fr-FR"/>
        </w:rPr>
      </w:pPr>
      <w:proofErr w:type="spellStart"/>
      <w:r w:rsidRPr="0027071F">
        <w:rPr>
          <w:rFonts w:ascii="Inter-Regular" w:eastAsia="Times New Roman" w:hAnsi="Inter-Regular" w:cs="Times New Roman"/>
          <w:i/>
          <w:iCs/>
          <w:color w:val="271A38"/>
          <w:sz w:val="40"/>
          <w:szCs w:val="56"/>
          <w:lang w:eastAsia="fr-FR"/>
        </w:rPr>
        <w:t>Loss</w:t>
      </w:r>
      <w:proofErr w:type="spellEnd"/>
      <w:r w:rsidRPr="0027071F">
        <w:rPr>
          <w:rFonts w:ascii="Inter-Regular" w:eastAsia="Times New Roman" w:hAnsi="Inter-Regular" w:cs="Times New Roman"/>
          <w:i/>
          <w:iCs/>
          <w:color w:val="271A38"/>
          <w:sz w:val="40"/>
          <w:szCs w:val="56"/>
          <w:lang w:eastAsia="fr-FR"/>
        </w:rPr>
        <w:t xml:space="preserve"> = 10</w:t>
      </w:r>
      <w:r>
        <w:rPr>
          <w:rFonts w:ascii="Inter-Regular" w:eastAsia="Times New Roman" w:hAnsi="Inter-Regular" w:cs="Times New Roman"/>
          <w:i/>
          <w:iCs/>
          <w:color w:val="271A38"/>
          <w:sz w:val="40"/>
          <w:szCs w:val="56"/>
          <w:lang w:eastAsia="fr-FR"/>
        </w:rPr>
        <w:t>*</w:t>
      </w:r>
      <w:r w:rsidRPr="0027071F">
        <w:rPr>
          <w:rFonts w:ascii="Inter-Regular" w:eastAsia="Times New Roman" w:hAnsi="Inter-Regular" w:cs="Times New Roman"/>
          <w:i/>
          <w:iCs/>
          <w:color w:val="271A38"/>
          <w:sz w:val="40"/>
          <w:szCs w:val="56"/>
          <w:lang w:eastAsia="fr-FR"/>
        </w:rPr>
        <w:t>FP</w:t>
      </w:r>
      <w:r w:rsidR="001E0427">
        <w:rPr>
          <w:rFonts w:ascii="Inter-Regular" w:eastAsia="Times New Roman" w:hAnsi="Inter-Regular" w:cs="Times New Roman"/>
          <w:i/>
          <w:iCs/>
          <w:color w:val="271A38"/>
          <w:sz w:val="40"/>
          <w:szCs w:val="56"/>
          <w:lang w:eastAsia="fr-FR"/>
        </w:rPr>
        <w:t>R</w:t>
      </w:r>
      <w:r w:rsidRPr="0027071F">
        <w:rPr>
          <w:rFonts w:ascii="Inter-Regular" w:eastAsia="Times New Roman" w:hAnsi="Inter-Regular" w:cs="Times New Roman"/>
          <w:i/>
          <w:iCs/>
          <w:color w:val="271A38"/>
          <w:sz w:val="40"/>
          <w:szCs w:val="56"/>
          <w:lang w:eastAsia="fr-FR"/>
        </w:rPr>
        <w:t>+FN</w:t>
      </w:r>
      <w:r w:rsidR="001E0427">
        <w:rPr>
          <w:rFonts w:ascii="Inter-Regular" w:eastAsia="Times New Roman" w:hAnsi="Inter-Regular" w:cs="Times New Roman"/>
          <w:i/>
          <w:iCs/>
          <w:color w:val="271A38"/>
          <w:sz w:val="40"/>
          <w:szCs w:val="56"/>
          <w:lang w:eastAsia="fr-FR"/>
        </w:rPr>
        <w:t>R</w:t>
      </w:r>
    </w:p>
    <w:p w14:paraId="2DEDAF3B" w14:textId="77777777" w:rsidR="001E0427" w:rsidRDefault="0027071F" w:rsidP="0027071F">
      <w:pPr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</w:pPr>
      <w:r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lastRenderedPageBreak/>
        <w:t xml:space="preserve">L’algorithme d’optimisation retenu à l’issue de l’entraînement et du test </w:t>
      </w:r>
      <w:r w:rsidR="001E0427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 xml:space="preserve">des données </w:t>
      </w:r>
      <w:r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 xml:space="preserve">est le Light Gradient </w:t>
      </w:r>
      <w:proofErr w:type="spellStart"/>
      <w:r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>Boosting</w:t>
      </w:r>
      <w:proofErr w:type="spellEnd"/>
      <w:r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 xml:space="preserve"> Model</w:t>
      </w:r>
      <w:r w:rsidR="001E0427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 xml:space="preserve">. C’est un modèle de </w:t>
      </w:r>
      <w:proofErr w:type="spellStart"/>
      <w:r w:rsidR="001E0427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>boosting</w:t>
      </w:r>
      <w:proofErr w:type="spellEnd"/>
      <w:r w:rsidR="001E0427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 xml:space="preserve"> </w:t>
      </w:r>
      <w:r w:rsidR="001E0427" w:rsidRPr="001E0427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>itératif avec arbres de décision peu profonds, optimisé pour accélérer l'apprentissage et améliorer la précision en se concentrant sur les échantillons difficiles.</w:t>
      </w:r>
      <w:r w:rsidR="001E0427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 xml:space="preserve"> </w:t>
      </w:r>
    </w:p>
    <w:p w14:paraId="48949FC3" w14:textId="27E2413E" w:rsidR="0027071F" w:rsidRDefault="001E0427" w:rsidP="0027071F">
      <w:pPr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</w:pPr>
      <w:r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>La métrique d’évaluation employé est la minimisation de la fonction de coût.</w:t>
      </w:r>
    </w:p>
    <w:p w14:paraId="4F874A54" w14:textId="77777777" w:rsidR="00BE7C9D" w:rsidRPr="0027071F" w:rsidRDefault="00BE7C9D" w:rsidP="0027071F">
      <w:pPr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</w:pPr>
    </w:p>
    <w:p w14:paraId="57E62EDB" w14:textId="74EB6492" w:rsidR="001E0427" w:rsidRDefault="001E0427" w:rsidP="00CD6BCD">
      <w:pPr>
        <w:pStyle w:val="Paragraphedeliste"/>
        <w:numPr>
          <w:ilvl w:val="0"/>
          <w:numId w:val="2"/>
        </w:numPr>
        <w:rPr>
          <w:rFonts w:ascii="Inter-Regular" w:eastAsia="Times New Roman" w:hAnsi="Inter-Regular" w:cs="Times New Roman"/>
          <w:b/>
          <w:bCs/>
          <w:color w:val="271A38"/>
          <w:sz w:val="24"/>
          <w:szCs w:val="24"/>
          <w:u w:val="single"/>
          <w:lang w:eastAsia="fr-FR"/>
        </w:rPr>
      </w:pPr>
      <w:r>
        <w:rPr>
          <w:rFonts w:ascii="Inter-Regular" w:eastAsia="Times New Roman" w:hAnsi="Inter-Regular" w:cs="Times New Roman"/>
          <w:b/>
          <w:bCs/>
          <w:color w:val="271A38"/>
          <w:sz w:val="24"/>
          <w:szCs w:val="24"/>
          <w:u w:val="single"/>
          <w:lang w:eastAsia="fr-FR"/>
        </w:rPr>
        <w:t>Partie 4 : Tableau de synthèse des résultats</w:t>
      </w:r>
    </w:p>
    <w:tbl>
      <w:tblPr>
        <w:tblW w:w="5635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844"/>
        <w:gridCol w:w="1105"/>
        <w:gridCol w:w="1105"/>
        <w:gridCol w:w="938"/>
        <w:gridCol w:w="1339"/>
        <w:gridCol w:w="1105"/>
      </w:tblGrid>
      <w:tr w:rsidR="009E10E5" w:rsidRPr="009E10E5" w14:paraId="66ACDDE8" w14:textId="77777777" w:rsidTr="009E10E5">
        <w:trPr>
          <w:trHeight w:val="584"/>
        </w:trPr>
        <w:tc>
          <w:tcPr>
            <w:tcW w:w="1802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C6B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31B34EB" w14:textId="77777777" w:rsidR="009E10E5" w:rsidRPr="009E10E5" w:rsidRDefault="009E10E5" w:rsidP="009E10E5">
            <w:pPr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eastAsia="fr-FR"/>
              </w:rPr>
            </w:pPr>
            <w:proofErr w:type="spellStart"/>
            <w:proofErr w:type="gramStart"/>
            <w:r w:rsidRPr="009E10E5"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eastAsia="fr-FR"/>
              </w:rPr>
              <w:t>models</w:t>
            </w:r>
            <w:proofErr w:type="spellEnd"/>
            <w:proofErr w:type="gramEnd"/>
          </w:p>
        </w:tc>
        <w:tc>
          <w:tcPr>
            <w:tcW w:w="1114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C6B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5C9DE0E" w14:textId="77777777" w:rsidR="009E10E5" w:rsidRPr="009E10E5" w:rsidRDefault="009E10E5" w:rsidP="009E10E5">
            <w:pPr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eastAsia="fr-FR"/>
              </w:rPr>
            </w:pPr>
            <w:proofErr w:type="spellStart"/>
            <w:proofErr w:type="gramStart"/>
            <w:r w:rsidRPr="009E10E5"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eastAsia="fr-FR"/>
              </w:rPr>
              <w:t>auc</w:t>
            </w:r>
            <w:proofErr w:type="spellEnd"/>
            <w:proofErr w:type="gramEnd"/>
          </w:p>
        </w:tc>
        <w:tc>
          <w:tcPr>
            <w:tcW w:w="542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C6B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58B241" w14:textId="77777777" w:rsidR="009E10E5" w:rsidRPr="009E10E5" w:rsidRDefault="009E10E5" w:rsidP="009E10E5">
            <w:pPr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eastAsia="fr-FR"/>
              </w:rPr>
            </w:pPr>
            <w:r w:rsidRPr="009E10E5"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eastAsia="fr-FR"/>
              </w:rPr>
              <w:t>F1</w:t>
            </w:r>
          </w:p>
        </w:tc>
        <w:tc>
          <w:tcPr>
            <w:tcW w:w="460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C6B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1BB220F" w14:textId="77777777" w:rsidR="009E10E5" w:rsidRPr="009E10E5" w:rsidRDefault="009E10E5" w:rsidP="009E10E5">
            <w:pPr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eastAsia="fr-FR"/>
              </w:rPr>
            </w:pPr>
            <w:r w:rsidRPr="009E10E5"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eastAsia="fr-FR"/>
              </w:rPr>
              <w:t xml:space="preserve">Custom </w:t>
            </w:r>
            <w:proofErr w:type="spellStart"/>
            <w:r w:rsidRPr="009E10E5"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eastAsia="fr-FR"/>
              </w:rPr>
              <w:t>Cost</w:t>
            </w:r>
            <w:proofErr w:type="spellEnd"/>
            <w:r w:rsidRPr="009E10E5"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eastAsia="fr-FR"/>
              </w:rPr>
              <w:t xml:space="preserve"> train</w:t>
            </w:r>
          </w:p>
        </w:tc>
        <w:tc>
          <w:tcPr>
            <w:tcW w:w="542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C6B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3166700" w14:textId="77777777" w:rsidR="009E10E5" w:rsidRPr="009E10E5" w:rsidRDefault="009E10E5" w:rsidP="009E10E5">
            <w:pPr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eastAsia="fr-FR"/>
              </w:rPr>
            </w:pPr>
            <w:r w:rsidRPr="009E10E5"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eastAsia="fr-FR"/>
              </w:rPr>
              <w:t xml:space="preserve">Custom </w:t>
            </w:r>
            <w:proofErr w:type="spellStart"/>
            <w:r w:rsidRPr="009E10E5"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eastAsia="fr-FR"/>
              </w:rPr>
              <w:t>Cost</w:t>
            </w:r>
            <w:proofErr w:type="spellEnd"/>
            <w:r w:rsidRPr="009E10E5"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eastAsia="fr-FR"/>
              </w:rPr>
              <w:t xml:space="preserve"> test</w:t>
            </w:r>
          </w:p>
        </w:tc>
        <w:tc>
          <w:tcPr>
            <w:tcW w:w="542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C6B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D7A44C3" w14:textId="77777777" w:rsidR="009E10E5" w:rsidRPr="009E10E5" w:rsidRDefault="009E10E5" w:rsidP="009E10E5">
            <w:pPr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eastAsia="fr-FR"/>
              </w:rPr>
            </w:pPr>
            <w:proofErr w:type="spellStart"/>
            <w:r w:rsidRPr="009E10E5"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eastAsia="fr-FR"/>
              </w:rPr>
              <w:t>Accuracy</w:t>
            </w:r>
            <w:proofErr w:type="spellEnd"/>
          </w:p>
        </w:tc>
      </w:tr>
      <w:tr w:rsidR="009E10E5" w:rsidRPr="009E10E5" w14:paraId="316791D8" w14:textId="77777777" w:rsidTr="009E10E5">
        <w:trPr>
          <w:trHeight w:val="584"/>
        </w:trPr>
        <w:tc>
          <w:tcPr>
            <w:tcW w:w="1802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A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0C9EACC" w14:textId="77777777" w:rsidR="009E10E5" w:rsidRPr="009E10E5" w:rsidRDefault="009E10E5" w:rsidP="009E10E5">
            <w:pPr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eastAsia="fr-FR"/>
              </w:rPr>
            </w:pPr>
            <w:proofErr w:type="spellStart"/>
            <w:r w:rsidRPr="009E10E5"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eastAsia="fr-FR"/>
              </w:rPr>
              <w:t>DummyClassifier</w:t>
            </w:r>
            <w:proofErr w:type="spellEnd"/>
            <w:r w:rsidRPr="009E10E5"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eastAsia="fr-FR"/>
              </w:rPr>
              <w:t>(</w:t>
            </w:r>
            <w:proofErr w:type="spellStart"/>
            <w:r w:rsidRPr="009E10E5"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eastAsia="fr-FR"/>
              </w:rPr>
              <w:t>strategy</w:t>
            </w:r>
            <w:proofErr w:type="spellEnd"/>
            <w:r w:rsidRPr="009E10E5"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eastAsia="fr-FR"/>
              </w:rPr>
              <w:t>='</w:t>
            </w:r>
            <w:proofErr w:type="spellStart"/>
            <w:r w:rsidRPr="009E10E5"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eastAsia="fr-FR"/>
              </w:rPr>
              <w:t>stratified</w:t>
            </w:r>
            <w:proofErr w:type="spellEnd"/>
            <w:r w:rsidRPr="009E10E5"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eastAsia="fr-FR"/>
              </w:rPr>
              <w:t>')</w:t>
            </w:r>
          </w:p>
        </w:tc>
        <w:tc>
          <w:tcPr>
            <w:tcW w:w="1114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A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D413B99" w14:textId="77777777" w:rsidR="009E10E5" w:rsidRPr="009E10E5" w:rsidRDefault="009E10E5" w:rsidP="009E10E5">
            <w:pPr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eastAsia="fr-FR"/>
              </w:rPr>
            </w:pPr>
            <w:r w:rsidRPr="009E10E5"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eastAsia="fr-FR"/>
              </w:rPr>
              <w:t>0.501545</w:t>
            </w:r>
          </w:p>
        </w:tc>
        <w:tc>
          <w:tcPr>
            <w:tcW w:w="542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A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982BDB" w14:textId="77777777" w:rsidR="009E10E5" w:rsidRPr="009E10E5" w:rsidRDefault="009E10E5" w:rsidP="009E10E5">
            <w:pPr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eastAsia="fr-FR"/>
              </w:rPr>
            </w:pPr>
            <w:r w:rsidRPr="009E10E5"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eastAsia="fr-FR"/>
              </w:rPr>
              <w:t>0.132256</w:t>
            </w:r>
          </w:p>
        </w:tc>
        <w:tc>
          <w:tcPr>
            <w:tcW w:w="460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A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AD75123" w14:textId="77777777" w:rsidR="009E10E5" w:rsidRPr="009E10E5" w:rsidRDefault="009E10E5" w:rsidP="009E10E5">
            <w:pPr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eastAsia="fr-FR"/>
              </w:rPr>
            </w:pPr>
            <w:r w:rsidRPr="009E10E5"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eastAsia="fr-FR"/>
              </w:rPr>
              <w:t>2.75</w:t>
            </w:r>
          </w:p>
        </w:tc>
        <w:tc>
          <w:tcPr>
            <w:tcW w:w="542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A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50B117" w14:textId="77777777" w:rsidR="009E10E5" w:rsidRPr="009E10E5" w:rsidRDefault="009E10E5" w:rsidP="009E10E5">
            <w:pPr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eastAsia="fr-FR"/>
              </w:rPr>
            </w:pPr>
            <w:r w:rsidRPr="009E10E5"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eastAsia="fr-FR"/>
              </w:rPr>
              <w:t>0.837994</w:t>
            </w:r>
          </w:p>
        </w:tc>
        <w:tc>
          <w:tcPr>
            <w:tcW w:w="542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A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FA67F1E" w14:textId="77777777" w:rsidR="009E10E5" w:rsidRPr="009E10E5" w:rsidRDefault="009E10E5" w:rsidP="009E10E5">
            <w:pPr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eastAsia="fr-FR"/>
              </w:rPr>
            </w:pPr>
            <w:r w:rsidRPr="009E10E5"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eastAsia="fr-FR"/>
              </w:rPr>
              <w:t>0.504468</w:t>
            </w:r>
          </w:p>
        </w:tc>
      </w:tr>
      <w:tr w:rsidR="009E10E5" w:rsidRPr="009E10E5" w14:paraId="7C981A45" w14:textId="77777777" w:rsidTr="009E10E5">
        <w:trPr>
          <w:trHeight w:val="584"/>
        </w:trPr>
        <w:tc>
          <w:tcPr>
            <w:tcW w:w="180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5F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D52CD54" w14:textId="77777777" w:rsidR="009E10E5" w:rsidRPr="009E10E5" w:rsidRDefault="009E10E5" w:rsidP="009E10E5">
            <w:pPr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eastAsia="fr-FR"/>
              </w:rPr>
            </w:pPr>
            <w:proofErr w:type="spellStart"/>
            <w:proofErr w:type="gramStart"/>
            <w:r w:rsidRPr="009E10E5"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eastAsia="fr-FR"/>
              </w:rPr>
              <w:t>LGBMClassifier</w:t>
            </w:r>
            <w:proofErr w:type="spellEnd"/>
            <w:r w:rsidRPr="009E10E5"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eastAsia="fr-FR"/>
              </w:rPr>
              <w:t>(</w:t>
            </w:r>
            <w:proofErr w:type="spellStart"/>
            <w:proofErr w:type="gramEnd"/>
            <w:r w:rsidRPr="009E10E5"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eastAsia="fr-FR"/>
              </w:rPr>
              <w:t>learning_rate</w:t>
            </w:r>
            <w:proofErr w:type="spellEnd"/>
            <w:r w:rsidRPr="009E10E5"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eastAsia="fr-FR"/>
              </w:rPr>
              <w:t>=0.218442311858243...</w:t>
            </w:r>
          </w:p>
        </w:tc>
        <w:tc>
          <w:tcPr>
            <w:tcW w:w="111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5F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C9C02C2" w14:textId="77777777" w:rsidR="009E10E5" w:rsidRPr="009E10E5" w:rsidRDefault="009E10E5" w:rsidP="009E10E5">
            <w:pPr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eastAsia="fr-FR"/>
              </w:rPr>
            </w:pPr>
            <w:r w:rsidRPr="009E10E5"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eastAsia="fr-FR"/>
              </w:rPr>
              <w:t>0.505480</w:t>
            </w:r>
          </w:p>
        </w:tc>
        <w:tc>
          <w:tcPr>
            <w:tcW w:w="54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5F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8228E0A" w14:textId="77777777" w:rsidR="009E10E5" w:rsidRPr="009E10E5" w:rsidRDefault="009E10E5" w:rsidP="009E10E5">
            <w:pPr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eastAsia="fr-FR"/>
              </w:rPr>
            </w:pPr>
            <w:r w:rsidRPr="009E10E5"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eastAsia="fr-FR"/>
              </w:rPr>
              <w:t>0.039088</w:t>
            </w:r>
          </w:p>
        </w:tc>
        <w:tc>
          <w:tcPr>
            <w:tcW w:w="46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5F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0AFED00" w14:textId="77777777" w:rsidR="009E10E5" w:rsidRPr="009E10E5" w:rsidRDefault="009E10E5" w:rsidP="009E10E5">
            <w:pPr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eastAsia="fr-FR"/>
              </w:rPr>
            </w:pPr>
            <w:r w:rsidRPr="009E10E5"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eastAsia="fr-FR"/>
              </w:rPr>
              <w:t>0.41</w:t>
            </w:r>
          </w:p>
        </w:tc>
        <w:tc>
          <w:tcPr>
            <w:tcW w:w="54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5F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823EAE6" w14:textId="77777777" w:rsidR="009E10E5" w:rsidRPr="009E10E5" w:rsidRDefault="009E10E5" w:rsidP="009E10E5">
            <w:pPr>
              <w:rPr>
                <w:rFonts w:ascii="Inter-Regular" w:eastAsia="Times New Roman" w:hAnsi="Inter-Regular" w:cs="Times New Roman"/>
                <w:b/>
                <w:bCs/>
                <w:color w:val="271A38"/>
                <w:sz w:val="20"/>
                <w:szCs w:val="20"/>
                <w:lang w:eastAsia="fr-FR"/>
              </w:rPr>
            </w:pPr>
            <w:r w:rsidRPr="009E10E5">
              <w:rPr>
                <w:rFonts w:ascii="Inter-Regular" w:eastAsia="Times New Roman" w:hAnsi="Inter-Regular" w:cs="Times New Roman"/>
                <w:b/>
                <w:bCs/>
                <w:color w:val="00B050"/>
                <w:sz w:val="24"/>
                <w:szCs w:val="24"/>
                <w:lang w:eastAsia="fr-FR"/>
              </w:rPr>
              <w:t>0.751802</w:t>
            </w:r>
          </w:p>
        </w:tc>
        <w:tc>
          <w:tcPr>
            <w:tcW w:w="54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5F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4F7417C" w14:textId="77777777" w:rsidR="009E10E5" w:rsidRPr="009E10E5" w:rsidRDefault="009E10E5" w:rsidP="009E10E5">
            <w:pPr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eastAsia="fr-FR"/>
              </w:rPr>
            </w:pPr>
            <w:r w:rsidRPr="009E10E5"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eastAsia="fr-FR"/>
              </w:rPr>
              <w:t>0.914961</w:t>
            </w:r>
          </w:p>
        </w:tc>
      </w:tr>
      <w:tr w:rsidR="009E10E5" w:rsidRPr="009E10E5" w14:paraId="1F55FC8A" w14:textId="77777777" w:rsidTr="009E10E5">
        <w:trPr>
          <w:trHeight w:val="584"/>
        </w:trPr>
        <w:tc>
          <w:tcPr>
            <w:tcW w:w="180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A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234BC4E" w14:textId="77777777" w:rsidR="009E10E5" w:rsidRPr="009E10E5" w:rsidRDefault="009E10E5" w:rsidP="009E10E5">
            <w:pPr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eastAsia="fr-FR"/>
              </w:rPr>
            </w:pPr>
            <w:r w:rsidRPr="009E10E5"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val="en-US" w:eastAsia="fr-FR"/>
              </w:rPr>
              <w:t>(</w:t>
            </w:r>
            <w:proofErr w:type="spellStart"/>
            <w:proofErr w:type="gramStart"/>
            <w:r w:rsidRPr="009E10E5"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val="en-US" w:eastAsia="fr-FR"/>
              </w:rPr>
              <w:t>DecisionTreeClassifier</w:t>
            </w:r>
            <w:proofErr w:type="spellEnd"/>
            <w:r w:rsidRPr="009E10E5"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val="en-US" w:eastAsia="fr-FR"/>
              </w:rPr>
              <w:t>(</w:t>
            </w:r>
            <w:proofErr w:type="spellStart"/>
            <w:proofErr w:type="gramEnd"/>
            <w:r w:rsidRPr="009E10E5"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val="en-US" w:eastAsia="fr-FR"/>
              </w:rPr>
              <w:t>max_features</w:t>
            </w:r>
            <w:proofErr w:type="spellEnd"/>
            <w:r w:rsidRPr="009E10E5"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val="en-US" w:eastAsia="fr-FR"/>
              </w:rPr>
              <w:t>=1, random...</w:t>
            </w:r>
          </w:p>
        </w:tc>
        <w:tc>
          <w:tcPr>
            <w:tcW w:w="111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A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C28E442" w14:textId="77777777" w:rsidR="009E10E5" w:rsidRPr="009E10E5" w:rsidRDefault="009E10E5" w:rsidP="009E10E5">
            <w:pPr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eastAsia="fr-FR"/>
              </w:rPr>
            </w:pPr>
            <w:r w:rsidRPr="009E10E5"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eastAsia="fr-FR"/>
              </w:rPr>
              <w:t>0.500000</w:t>
            </w:r>
          </w:p>
        </w:tc>
        <w:tc>
          <w:tcPr>
            <w:tcW w:w="54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A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7C9B5C7" w14:textId="77777777" w:rsidR="009E10E5" w:rsidRPr="009E10E5" w:rsidRDefault="009E10E5" w:rsidP="009E10E5">
            <w:pPr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eastAsia="fr-FR"/>
              </w:rPr>
            </w:pPr>
            <w:r w:rsidRPr="009E10E5"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eastAsia="fr-FR"/>
              </w:rPr>
              <w:t>0.000000</w:t>
            </w:r>
          </w:p>
        </w:tc>
        <w:tc>
          <w:tcPr>
            <w:tcW w:w="46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A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04F9299" w14:textId="77777777" w:rsidR="009E10E5" w:rsidRPr="009E10E5" w:rsidRDefault="009E10E5" w:rsidP="009E10E5">
            <w:pPr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eastAsia="fr-FR"/>
              </w:rPr>
            </w:pPr>
            <w:r w:rsidRPr="009E10E5"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eastAsia="fr-FR"/>
              </w:rPr>
              <w:t>0.37</w:t>
            </w:r>
          </w:p>
        </w:tc>
        <w:tc>
          <w:tcPr>
            <w:tcW w:w="54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A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7B7C26F" w14:textId="77777777" w:rsidR="009E10E5" w:rsidRPr="009E10E5" w:rsidRDefault="009E10E5" w:rsidP="009E10E5">
            <w:pPr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eastAsia="fr-FR"/>
              </w:rPr>
            </w:pPr>
            <w:r w:rsidRPr="009E10E5"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eastAsia="fr-FR"/>
              </w:rPr>
              <w:t>0.758144</w:t>
            </w:r>
          </w:p>
        </w:tc>
        <w:tc>
          <w:tcPr>
            <w:tcW w:w="54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EA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FAB07C6" w14:textId="77777777" w:rsidR="009E10E5" w:rsidRPr="009E10E5" w:rsidRDefault="009E10E5" w:rsidP="009E10E5">
            <w:pPr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eastAsia="fr-FR"/>
              </w:rPr>
            </w:pPr>
            <w:r w:rsidRPr="009E10E5"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eastAsia="fr-FR"/>
              </w:rPr>
              <w:t>0.924186</w:t>
            </w:r>
          </w:p>
        </w:tc>
      </w:tr>
      <w:tr w:rsidR="009E10E5" w:rsidRPr="009E10E5" w14:paraId="4023F754" w14:textId="77777777" w:rsidTr="009E10E5">
        <w:trPr>
          <w:trHeight w:val="584"/>
        </w:trPr>
        <w:tc>
          <w:tcPr>
            <w:tcW w:w="180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5F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0C60A28" w14:textId="77777777" w:rsidR="009E10E5" w:rsidRPr="009E10E5" w:rsidRDefault="009E10E5" w:rsidP="009E10E5">
            <w:pPr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eastAsia="fr-FR"/>
              </w:rPr>
            </w:pPr>
            <w:proofErr w:type="spellStart"/>
            <w:proofErr w:type="gramStart"/>
            <w:r w:rsidRPr="009E10E5"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eastAsia="fr-FR"/>
              </w:rPr>
              <w:t>LogisticRegression</w:t>
            </w:r>
            <w:proofErr w:type="spellEnd"/>
            <w:r w:rsidRPr="009E10E5"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eastAsia="fr-FR"/>
              </w:rPr>
              <w:t>(</w:t>
            </w:r>
            <w:proofErr w:type="gramEnd"/>
            <w:r w:rsidRPr="009E10E5"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eastAsia="fr-FR"/>
              </w:rPr>
              <w:t>C=0.03359818286283781, max_...</w:t>
            </w:r>
          </w:p>
        </w:tc>
        <w:tc>
          <w:tcPr>
            <w:tcW w:w="111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5F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8807A13" w14:textId="77777777" w:rsidR="009E10E5" w:rsidRPr="009E10E5" w:rsidRDefault="009E10E5" w:rsidP="009E10E5">
            <w:pPr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eastAsia="fr-FR"/>
              </w:rPr>
            </w:pPr>
            <w:r w:rsidRPr="009E10E5"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eastAsia="fr-FR"/>
              </w:rPr>
              <w:t>0.500000</w:t>
            </w:r>
          </w:p>
        </w:tc>
        <w:tc>
          <w:tcPr>
            <w:tcW w:w="54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5F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3D7E0B3" w14:textId="77777777" w:rsidR="009E10E5" w:rsidRPr="009E10E5" w:rsidRDefault="009E10E5" w:rsidP="009E10E5">
            <w:pPr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eastAsia="fr-FR"/>
              </w:rPr>
            </w:pPr>
            <w:r w:rsidRPr="009E10E5"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eastAsia="fr-FR"/>
              </w:rPr>
              <w:t>0.000000</w:t>
            </w:r>
          </w:p>
        </w:tc>
        <w:tc>
          <w:tcPr>
            <w:tcW w:w="46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5F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BD41CE7" w14:textId="77777777" w:rsidR="009E10E5" w:rsidRPr="009E10E5" w:rsidRDefault="009E10E5" w:rsidP="009E10E5">
            <w:pPr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eastAsia="fr-FR"/>
              </w:rPr>
            </w:pPr>
            <w:r w:rsidRPr="009E10E5"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eastAsia="fr-FR"/>
              </w:rPr>
              <w:t>5.00</w:t>
            </w:r>
          </w:p>
        </w:tc>
        <w:tc>
          <w:tcPr>
            <w:tcW w:w="54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5F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36596A6" w14:textId="77777777" w:rsidR="009E10E5" w:rsidRPr="009E10E5" w:rsidRDefault="009E10E5" w:rsidP="009E10E5">
            <w:pPr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eastAsia="fr-FR"/>
              </w:rPr>
            </w:pPr>
            <w:r w:rsidRPr="009E10E5"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eastAsia="fr-FR"/>
              </w:rPr>
              <w:t>0.758144</w:t>
            </w:r>
          </w:p>
        </w:tc>
        <w:tc>
          <w:tcPr>
            <w:tcW w:w="54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5F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B5111C9" w14:textId="77777777" w:rsidR="009E10E5" w:rsidRPr="009E10E5" w:rsidRDefault="009E10E5" w:rsidP="009E10E5">
            <w:pPr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eastAsia="fr-FR"/>
              </w:rPr>
            </w:pPr>
            <w:r w:rsidRPr="009E10E5">
              <w:rPr>
                <w:rFonts w:ascii="Inter-Regular" w:eastAsia="Times New Roman" w:hAnsi="Inter-Regular" w:cs="Times New Roman"/>
                <w:color w:val="271A38"/>
                <w:sz w:val="20"/>
                <w:szCs w:val="20"/>
                <w:lang w:eastAsia="fr-FR"/>
              </w:rPr>
              <w:t>0.924186</w:t>
            </w:r>
          </w:p>
        </w:tc>
      </w:tr>
    </w:tbl>
    <w:p w14:paraId="0C1AE5CF" w14:textId="09A509AF" w:rsidR="001E0427" w:rsidRPr="009E10E5" w:rsidRDefault="001E0427" w:rsidP="009D44B5">
      <w:pPr>
        <w:rPr>
          <w:rFonts w:ascii="Inter-Regular" w:eastAsia="Times New Roman" w:hAnsi="Inter-Regular" w:cs="Times New Roman"/>
          <w:color w:val="271A38"/>
          <w:lang w:eastAsia="fr-FR"/>
        </w:rPr>
      </w:pPr>
    </w:p>
    <w:p w14:paraId="64F80918" w14:textId="77777777" w:rsidR="009D44B5" w:rsidRPr="009D44B5" w:rsidRDefault="009D44B5" w:rsidP="009D44B5">
      <w:pPr>
        <w:rPr>
          <w:rFonts w:ascii="Inter-Regular" w:eastAsia="Times New Roman" w:hAnsi="Inter-Regular" w:cs="Times New Roman"/>
          <w:b/>
          <w:bCs/>
          <w:color w:val="271A38"/>
          <w:sz w:val="24"/>
          <w:szCs w:val="24"/>
          <w:u w:val="single"/>
          <w:lang w:eastAsia="fr-FR"/>
        </w:rPr>
      </w:pPr>
    </w:p>
    <w:p w14:paraId="70C5ED50" w14:textId="61873012" w:rsidR="0098797E" w:rsidRPr="00CD6BCD" w:rsidRDefault="0098797E" w:rsidP="00CD6BCD">
      <w:pPr>
        <w:pStyle w:val="Paragraphedeliste"/>
        <w:numPr>
          <w:ilvl w:val="0"/>
          <w:numId w:val="2"/>
        </w:numPr>
        <w:rPr>
          <w:rFonts w:ascii="Inter-Regular" w:eastAsia="Times New Roman" w:hAnsi="Inter-Regular" w:cs="Times New Roman"/>
          <w:b/>
          <w:bCs/>
          <w:color w:val="271A38"/>
          <w:sz w:val="24"/>
          <w:szCs w:val="24"/>
          <w:u w:val="single"/>
          <w:lang w:eastAsia="fr-FR"/>
        </w:rPr>
      </w:pPr>
      <w:r w:rsidRPr="00CD6BCD">
        <w:rPr>
          <w:rFonts w:ascii="Inter-Regular" w:eastAsia="Times New Roman" w:hAnsi="Inter-Regular" w:cs="Times New Roman"/>
          <w:b/>
          <w:bCs/>
          <w:color w:val="271A38"/>
          <w:sz w:val="24"/>
          <w:szCs w:val="24"/>
          <w:u w:val="single"/>
          <w:lang w:eastAsia="fr-FR"/>
        </w:rPr>
        <w:t xml:space="preserve">Partie </w:t>
      </w:r>
      <w:r w:rsidR="009D44B5">
        <w:rPr>
          <w:rFonts w:ascii="Inter-Regular" w:eastAsia="Times New Roman" w:hAnsi="Inter-Regular" w:cs="Times New Roman"/>
          <w:b/>
          <w:bCs/>
          <w:color w:val="271A38"/>
          <w:sz w:val="24"/>
          <w:szCs w:val="24"/>
          <w:u w:val="single"/>
          <w:lang w:eastAsia="fr-FR"/>
        </w:rPr>
        <w:t>5</w:t>
      </w:r>
      <w:r w:rsidRPr="00CD6BCD">
        <w:rPr>
          <w:rFonts w:ascii="Inter-Regular" w:eastAsia="Times New Roman" w:hAnsi="Inter-Regular" w:cs="Times New Roman"/>
          <w:b/>
          <w:bCs/>
          <w:color w:val="271A38"/>
          <w:sz w:val="24"/>
          <w:szCs w:val="24"/>
          <w:u w:val="single"/>
          <w:lang w:eastAsia="fr-FR"/>
        </w:rPr>
        <w:t xml:space="preserve"> : Interprétabilité globale et locale du modèle</w:t>
      </w:r>
    </w:p>
    <w:p w14:paraId="742E039B" w14:textId="77777777" w:rsidR="0098797E" w:rsidRPr="0098797E" w:rsidRDefault="0098797E" w:rsidP="0098797E">
      <w:pPr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</w:pPr>
    </w:p>
    <w:p w14:paraId="244D40BB" w14:textId="280FB07F" w:rsidR="0098797E" w:rsidRDefault="0098797E" w:rsidP="0098797E">
      <w:pPr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</w:pPr>
      <w:r w:rsidRPr="0098797E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 xml:space="preserve">Tout d'abord, nous comparons les clients sur les dix </w:t>
      </w:r>
      <w:proofErr w:type="spellStart"/>
      <w:r w:rsidRPr="0098797E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>features</w:t>
      </w:r>
      <w:proofErr w:type="spellEnd"/>
      <w:r w:rsidRPr="0098797E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 xml:space="preserve"> les plus importantes par rapport à la population globale. Cela nous permet de déterminer</w:t>
      </w:r>
      <w:r w:rsidR="00CD6BCD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 xml:space="preserve"> de manière </w:t>
      </w:r>
      <w:proofErr w:type="gramStart"/>
      <w:r w:rsidR="00CD6BCD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 xml:space="preserve">globale </w:t>
      </w:r>
      <w:r w:rsidRPr="0098797E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 xml:space="preserve"> les</w:t>
      </w:r>
      <w:proofErr w:type="gramEnd"/>
      <w:r w:rsidRPr="0098797E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 xml:space="preserve"> caractéristiques clés qui distinguent les clients à risque de défaut de paiement des autres.</w:t>
      </w:r>
    </w:p>
    <w:p w14:paraId="62848BC0" w14:textId="212C94A2" w:rsidR="009E10E5" w:rsidRPr="0098797E" w:rsidRDefault="009E10E5" w:rsidP="0098797E">
      <w:pPr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</w:pPr>
      <w:r w:rsidRPr="009E10E5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lastRenderedPageBreak/>
        <w:drawing>
          <wp:inline distT="0" distB="0" distL="0" distR="0" wp14:anchorId="464EBD0E" wp14:editId="771D99FC">
            <wp:extent cx="5760720" cy="2759710"/>
            <wp:effectExtent l="0" t="0" r="0" b="2540"/>
            <wp:docPr id="614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17C5BC9C-7505-4BA2-3C00-5E5C1A3700D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>
                      <a:extLst>
                        <a:ext uri="{FF2B5EF4-FFF2-40B4-BE49-F238E27FC236}">
                          <a16:creationId xmlns:a16="http://schemas.microsoft.com/office/drawing/2014/main" id="{17C5BC9C-7505-4BA2-3C00-5E5C1A3700D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5971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</pic:spPr>
                </pic:pic>
              </a:graphicData>
            </a:graphic>
          </wp:inline>
        </w:drawing>
      </w:r>
    </w:p>
    <w:p w14:paraId="4DDA7C17" w14:textId="3A49E38B" w:rsidR="0098797E" w:rsidRDefault="009E10E5" w:rsidP="0098797E">
      <w:pPr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</w:pPr>
      <w:r w:rsidRPr="009E10E5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drawing>
          <wp:anchor distT="0" distB="0" distL="114300" distR="114300" simplePos="0" relativeHeight="251661312" behindDoc="0" locked="0" layoutInCell="1" allowOverlap="1" wp14:anchorId="588949F9" wp14:editId="7F64E710">
            <wp:simplePos x="0" y="0"/>
            <wp:positionH relativeFrom="margin">
              <wp:posOffset>2947035</wp:posOffset>
            </wp:positionH>
            <wp:positionV relativeFrom="page">
              <wp:posOffset>4624705</wp:posOffset>
            </wp:positionV>
            <wp:extent cx="2780030" cy="2008505"/>
            <wp:effectExtent l="0" t="0" r="1270" b="0"/>
            <wp:wrapTopAndBottom/>
            <wp:docPr id="14" name="Image 13">
              <a:extLst xmlns:a="http://schemas.openxmlformats.org/drawingml/2006/main">
                <a:ext uri="{FF2B5EF4-FFF2-40B4-BE49-F238E27FC236}">
                  <a16:creationId xmlns:a16="http://schemas.microsoft.com/office/drawing/2014/main" id="{C33BBDAD-619C-981B-E8F6-EC56207B92B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3">
                      <a:extLst>
                        <a:ext uri="{FF2B5EF4-FFF2-40B4-BE49-F238E27FC236}">
                          <a16:creationId xmlns:a16="http://schemas.microsoft.com/office/drawing/2014/main" id="{C33BBDAD-619C-981B-E8F6-EC56207B92B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003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10E5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drawing>
          <wp:anchor distT="0" distB="0" distL="114300" distR="114300" simplePos="0" relativeHeight="251659264" behindDoc="0" locked="0" layoutInCell="1" allowOverlap="1" wp14:anchorId="7515410E" wp14:editId="536EFCD6">
            <wp:simplePos x="0" y="0"/>
            <wp:positionH relativeFrom="margin">
              <wp:align>left</wp:align>
            </wp:positionH>
            <wp:positionV relativeFrom="paragraph">
              <wp:posOffset>845185</wp:posOffset>
            </wp:positionV>
            <wp:extent cx="2860040" cy="2057400"/>
            <wp:effectExtent l="0" t="0" r="0" b="0"/>
            <wp:wrapTopAndBottom/>
            <wp:docPr id="8" name="Image 7">
              <a:extLst xmlns:a="http://schemas.openxmlformats.org/drawingml/2006/main">
                <a:ext uri="{FF2B5EF4-FFF2-40B4-BE49-F238E27FC236}">
                  <a16:creationId xmlns:a16="http://schemas.microsoft.com/office/drawing/2014/main" id="{9A6DDAED-838C-AF43-B032-ED218470677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7">
                      <a:extLst>
                        <a:ext uri="{FF2B5EF4-FFF2-40B4-BE49-F238E27FC236}">
                          <a16:creationId xmlns:a16="http://schemas.microsoft.com/office/drawing/2014/main" id="{9A6DDAED-838C-AF43-B032-ED218470677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004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797E" w:rsidRPr="0098797E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 xml:space="preserve">Ensuite, nous analysons les clients par rapport à </w:t>
      </w:r>
      <w:r w:rsidR="00CD6BCD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>des</w:t>
      </w:r>
      <w:r w:rsidR="0098797E" w:rsidRPr="0098797E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 xml:space="preserve"> sous-population</w:t>
      </w:r>
      <w:r w:rsidR="00CD6BCD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>s</w:t>
      </w:r>
      <w:r w:rsidR="0098797E" w:rsidRPr="0098797E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 xml:space="preserve"> spécifique</w:t>
      </w:r>
      <w:r w:rsidR="00CD6BCD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>s</w:t>
      </w:r>
      <w:r w:rsidR="0098797E" w:rsidRPr="0098797E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 xml:space="preserve">, en les comparant à des clients du même sexe et de la même tranche d'âge, à plus ou moins </w:t>
      </w:r>
      <w:r w:rsidR="00CD6BCD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>cinq</w:t>
      </w:r>
      <w:r w:rsidR="0098797E" w:rsidRPr="0098797E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 xml:space="preserve"> an</w:t>
      </w:r>
      <w:r w:rsidR="00CD6BCD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>s</w:t>
      </w:r>
      <w:r w:rsidR="0098797E" w:rsidRPr="0098797E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 xml:space="preserve"> près. Cela nous donne une perspective locale et nous aide à comprendre comment les caractéristiques importantes peuvent varier selon ces sous-groupes.</w:t>
      </w:r>
    </w:p>
    <w:p w14:paraId="7A1730E9" w14:textId="03FE34C9" w:rsidR="009E10E5" w:rsidRDefault="009E10E5" w:rsidP="0098797E">
      <w:pPr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</w:pPr>
    </w:p>
    <w:p w14:paraId="5625392A" w14:textId="54D71E9E" w:rsidR="009E10E5" w:rsidRPr="0098797E" w:rsidRDefault="009E10E5" w:rsidP="0098797E">
      <w:pPr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</w:pPr>
    </w:p>
    <w:p w14:paraId="51D767A1" w14:textId="7E9FF2E4" w:rsidR="0098797E" w:rsidRPr="0098797E" w:rsidRDefault="0098797E" w:rsidP="0098797E">
      <w:pPr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</w:pPr>
    </w:p>
    <w:p w14:paraId="4FAF6D32" w14:textId="241D151E" w:rsidR="0098797E" w:rsidRPr="0098797E" w:rsidRDefault="0098797E" w:rsidP="00CD6BCD">
      <w:pPr>
        <w:pStyle w:val="Paragraphedeliste"/>
        <w:numPr>
          <w:ilvl w:val="0"/>
          <w:numId w:val="2"/>
        </w:numPr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</w:pPr>
      <w:r w:rsidRPr="00CD6BCD">
        <w:rPr>
          <w:rFonts w:ascii="Inter-Regular" w:eastAsia="Times New Roman" w:hAnsi="Inter-Regular" w:cs="Times New Roman"/>
          <w:b/>
          <w:bCs/>
          <w:color w:val="271A38"/>
          <w:sz w:val="24"/>
          <w:szCs w:val="24"/>
          <w:u w:val="single"/>
          <w:lang w:eastAsia="fr-FR"/>
        </w:rPr>
        <w:t xml:space="preserve">Partie </w:t>
      </w:r>
      <w:r w:rsidR="00BE0B75">
        <w:rPr>
          <w:rFonts w:ascii="Inter-Regular" w:eastAsia="Times New Roman" w:hAnsi="Inter-Regular" w:cs="Times New Roman"/>
          <w:b/>
          <w:bCs/>
          <w:color w:val="271A38"/>
          <w:sz w:val="24"/>
          <w:szCs w:val="24"/>
          <w:u w:val="single"/>
          <w:lang w:eastAsia="fr-FR"/>
        </w:rPr>
        <w:t>6</w:t>
      </w:r>
      <w:r w:rsidRPr="00CD6BCD">
        <w:rPr>
          <w:rFonts w:ascii="Inter-Regular" w:eastAsia="Times New Roman" w:hAnsi="Inter-Regular" w:cs="Times New Roman"/>
          <w:b/>
          <w:bCs/>
          <w:color w:val="271A38"/>
          <w:sz w:val="24"/>
          <w:szCs w:val="24"/>
          <w:u w:val="single"/>
          <w:lang w:eastAsia="fr-FR"/>
        </w:rPr>
        <w:t xml:space="preserve"> : Limites et améliorations possibles</w:t>
      </w:r>
    </w:p>
    <w:p w14:paraId="17FCEB9C" w14:textId="66D7A695" w:rsidR="0098797E" w:rsidRPr="0098797E" w:rsidRDefault="0098797E" w:rsidP="0098797E">
      <w:pPr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</w:pPr>
    </w:p>
    <w:p w14:paraId="3A4CBB88" w14:textId="05EDB34C" w:rsidR="0098797E" w:rsidRPr="0098797E" w:rsidRDefault="0098797E" w:rsidP="0098797E">
      <w:pPr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</w:pPr>
      <w:r w:rsidRPr="0098797E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>Parmi les limites potentielles, nous pou</w:t>
      </w:r>
      <w:r w:rsidR="00CD6BCD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>v</w:t>
      </w:r>
      <w:r w:rsidRPr="0098797E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>ons mentionner la sensibilité des modèles aux choix des hyperparamètres et le fait que la performance du modèle pourrait varier dans le temps en raison de l'évolution des données.</w:t>
      </w:r>
    </w:p>
    <w:p w14:paraId="6370A51F" w14:textId="7422C5C1" w:rsidR="009A7C52" w:rsidRDefault="0098797E" w:rsidP="0098797E">
      <w:pPr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</w:pPr>
      <w:r w:rsidRPr="0098797E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>Quant aux améliorations possibles, nous pourrions explorer d'autres techniques de traitement</w:t>
      </w:r>
      <w:r w:rsidR="00CD6BCD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>.</w:t>
      </w:r>
    </w:p>
    <w:p w14:paraId="44712C1C" w14:textId="5661F996" w:rsidR="00BE7C9D" w:rsidRDefault="00BE7C9D" w:rsidP="0098797E">
      <w:pPr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</w:pPr>
    </w:p>
    <w:p w14:paraId="0E6D24C2" w14:textId="02D4C446" w:rsidR="0098797E" w:rsidRPr="0098797E" w:rsidRDefault="0098797E" w:rsidP="00CD6BCD">
      <w:pPr>
        <w:pStyle w:val="Paragraphedeliste"/>
        <w:numPr>
          <w:ilvl w:val="0"/>
          <w:numId w:val="2"/>
        </w:numPr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</w:pPr>
      <w:r w:rsidRPr="00CD6BCD">
        <w:rPr>
          <w:rFonts w:ascii="Inter-Regular" w:eastAsia="Times New Roman" w:hAnsi="Inter-Regular" w:cs="Times New Roman"/>
          <w:b/>
          <w:bCs/>
          <w:color w:val="271A38"/>
          <w:sz w:val="24"/>
          <w:szCs w:val="24"/>
          <w:u w:val="single"/>
          <w:lang w:eastAsia="fr-FR"/>
        </w:rPr>
        <w:lastRenderedPageBreak/>
        <w:t xml:space="preserve">Partie </w:t>
      </w:r>
      <w:r w:rsidR="00BE0B75">
        <w:rPr>
          <w:rFonts w:ascii="Inter-Regular" w:eastAsia="Times New Roman" w:hAnsi="Inter-Regular" w:cs="Times New Roman"/>
          <w:b/>
          <w:bCs/>
          <w:color w:val="271A38"/>
          <w:sz w:val="24"/>
          <w:szCs w:val="24"/>
          <w:u w:val="single"/>
          <w:lang w:eastAsia="fr-FR"/>
        </w:rPr>
        <w:t>7</w:t>
      </w:r>
      <w:r w:rsidRPr="00CD6BCD">
        <w:rPr>
          <w:rFonts w:ascii="Inter-Regular" w:eastAsia="Times New Roman" w:hAnsi="Inter-Regular" w:cs="Times New Roman"/>
          <w:b/>
          <w:bCs/>
          <w:color w:val="271A38"/>
          <w:sz w:val="24"/>
          <w:szCs w:val="24"/>
          <w:u w:val="single"/>
          <w:lang w:eastAsia="fr-FR"/>
        </w:rPr>
        <w:t xml:space="preserve"> : Analyse du Data Drift</w:t>
      </w:r>
    </w:p>
    <w:p w14:paraId="3687166A" w14:textId="3CA1C990" w:rsidR="0098797E" w:rsidRPr="00BE0B75" w:rsidRDefault="00BE0B75" w:rsidP="0098797E">
      <w:pPr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</w:pPr>
      <w:r w:rsidRPr="00BE0B75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 xml:space="preserve">L'analyse de la dérive des données </w:t>
      </w:r>
      <w:r w:rsidR="00931BFD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 xml:space="preserve">sur les </w:t>
      </w:r>
      <w:proofErr w:type="spellStart"/>
      <w:r w:rsidR="00931BFD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>features</w:t>
      </w:r>
      <w:proofErr w:type="spellEnd"/>
      <w:r w:rsidR="00931BFD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 xml:space="preserve"> importantes </w:t>
      </w:r>
      <w:r w:rsidRPr="00BE0B75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 xml:space="preserve">révèle des résultats significatifs. </w:t>
      </w:r>
      <w:r w:rsidR="00151F80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>Deux</w:t>
      </w:r>
      <w:r w:rsidRPr="00BE0B75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 xml:space="preserve"> colonnes présentent une dérive très prononcée avec un p-value de K-S </w:t>
      </w:r>
      <w:r w:rsidR="00151F80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>proche de</w:t>
      </w:r>
      <w:r w:rsidRPr="00BE0B75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 xml:space="preserve"> 0, indiquant des différences significatives entre les ensembles de données de référence et actuels. Ces différences nécessitent une attention particulière car elles peuvent affecter les performances du modèle. </w:t>
      </w:r>
      <w:r w:rsidR="00151F80" w:rsidRPr="00151F80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drawing>
          <wp:inline distT="0" distB="0" distL="0" distR="0" wp14:anchorId="25BE7DF1" wp14:editId="6445D093">
            <wp:extent cx="5760720" cy="3325495"/>
            <wp:effectExtent l="0" t="0" r="0" b="8255"/>
            <wp:docPr id="5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A3FC420-7BD5-2EA3-EC50-61A51B2B170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A3FC420-7BD5-2EA3-EC50-61A51B2B170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0B75"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>Dans l'ensemble, ces résultats soulignent l'importance de surveiller et d'ajuster les colonnes présentant une dérive marquée pour maintenir la performance du modèle</w:t>
      </w:r>
      <w:r>
        <w:rPr>
          <w:rFonts w:ascii="Inter-Regular" w:eastAsia="Times New Roman" w:hAnsi="Inter-Regular" w:cs="Times New Roman"/>
          <w:color w:val="271A38"/>
          <w:sz w:val="24"/>
          <w:szCs w:val="24"/>
          <w:lang w:eastAsia="fr-FR"/>
        </w:rPr>
        <w:t>.</w:t>
      </w:r>
    </w:p>
    <w:sectPr w:rsidR="0098797E" w:rsidRPr="00BE0B7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B9780" w14:textId="77777777" w:rsidR="00665367" w:rsidRDefault="00665367" w:rsidP="00FC66AE">
      <w:pPr>
        <w:spacing w:after="0" w:line="240" w:lineRule="auto"/>
      </w:pPr>
      <w:r>
        <w:separator/>
      </w:r>
    </w:p>
  </w:endnote>
  <w:endnote w:type="continuationSeparator" w:id="0">
    <w:p w14:paraId="0F7A5DB8" w14:textId="77777777" w:rsidR="00665367" w:rsidRDefault="00665367" w:rsidP="00FC6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ter-Regular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3AB77" w14:textId="77777777" w:rsidR="00FC66AE" w:rsidRDefault="00FC66A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6560467"/>
      <w:docPartObj>
        <w:docPartGallery w:val="Page Numbers (Bottom of Page)"/>
        <w:docPartUnique/>
      </w:docPartObj>
    </w:sdtPr>
    <w:sdtContent>
      <w:p w14:paraId="72401D0F" w14:textId="1669FEC8" w:rsidR="00FC66AE" w:rsidRDefault="00FC66A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B654FDD" w14:textId="77777777" w:rsidR="00FC66AE" w:rsidRDefault="00FC66AE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3C66D" w14:textId="77777777" w:rsidR="00FC66AE" w:rsidRDefault="00FC66A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915DA" w14:textId="77777777" w:rsidR="00665367" w:rsidRDefault="00665367" w:rsidP="00FC66AE">
      <w:pPr>
        <w:spacing w:after="0" w:line="240" w:lineRule="auto"/>
      </w:pPr>
      <w:r>
        <w:separator/>
      </w:r>
    </w:p>
  </w:footnote>
  <w:footnote w:type="continuationSeparator" w:id="0">
    <w:p w14:paraId="7F5B08A5" w14:textId="77777777" w:rsidR="00665367" w:rsidRDefault="00665367" w:rsidP="00FC66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96F93" w14:textId="77777777" w:rsidR="00FC66AE" w:rsidRDefault="00FC66A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184E9" w14:textId="77777777" w:rsidR="00FC66AE" w:rsidRDefault="00FC66A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D21FD" w14:textId="77777777" w:rsidR="00FC66AE" w:rsidRDefault="00FC66A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47F68"/>
    <w:multiLevelType w:val="hybridMultilevel"/>
    <w:tmpl w:val="9D205E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F56985"/>
    <w:multiLevelType w:val="multilevel"/>
    <w:tmpl w:val="BA70E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728338">
    <w:abstractNumId w:val="1"/>
  </w:num>
  <w:num w:numId="2" w16cid:durableId="578175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4DA"/>
    <w:rsid w:val="00151F80"/>
    <w:rsid w:val="001E0427"/>
    <w:rsid w:val="0027071F"/>
    <w:rsid w:val="002E7CD4"/>
    <w:rsid w:val="005274DA"/>
    <w:rsid w:val="00665367"/>
    <w:rsid w:val="007A64DA"/>
    <w:rsid w:val="00931BFD"/>
    <w:rsid w:val="0098797E"/>
    <w:rsid w:val="009A7C52"/>
    <w:rsid w:val="009D44B5"/>
    <w:rsid w:val="009E10E5"/>
    <w:rsid w:val="00AC627C"/>
    <w:rsid w:val="00B377CF"/>
    <w:rsid w:val="00B63E0F"/>
    <w:rsid w:val="00BD730D"/>
    <w:rsid w:val="00BE0B75"/>
    <w:rsid w:val="00BE7C9D"/>
    <w:rsid w:val="00CD6BCD"/>
    <w:rsid w:val="00CF12FC"/>
    <w:rsid w:val="00E11BBC"/>
    <w:rsid w:val="00EF27AD"/>
    <w:rsid w:val="00FB0723"/>
    <w:rsid w:val="00FC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8D905"/>
  <w15:chartTrackingRefBased/>
  <w15:docId w15:val="{37A357B6-EF87-4436-A542-0B531A938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F27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5274DA"/>
    <w:rPr>
      <w:b/>
      <w:bCs/>
    </w:rPr>
  </w:style>
  <w:style w:type="paragraph" w:styleId="Paragraphedeliste">
    <w:name w:val="List Paragraph"/>
    <w:basedOn w:val="Normal"/>
    <w:uiPriority w:val="34"/>
    <w:qFormat/>
    <w:rsid w:val="00E11BB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F27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F27AD"/>
    <w:pPr>
      <w:outlineLvl w:val="9"/>
    </w:pPr>
    <w:rPr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FC66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C66AE"/>
  </w:style>
  <w:style w:type="paragraph" w:styleId="Pieddepage">
    <w:name w:val="footer"/>
    <w:basedOn w:val="Normal"/>
    <w:link w:val="PieddepageCar"/>
    <w:uiPriority w:val="99"/>
    <w:unhideWhenUsed/>
    <w:rsid w:val="00FC66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C6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1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5B44A-05A7-48B7-A7E3-2CD8756EE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672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Naudy</dc:creator>
  <cp:keywords/>
  <dc:description/>
  <cp:lastModifiedBy>Antoine Naudy</cp:lastModifiedBy>
  <cp:revision>11</cp:revision>
  <dcterms:created xsi:type="dcterms:W3CDTF">2023-05-17T13:45:00Z</dcterms:created>
  <dcterms:modified xsi:type="dcterms:W3CDTF">2023-05-28T16:14:00Z</dcterms:modified>
</cp:coreProperties>
</file>