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1A1A1A"/>
          <w:sz w:val="40"/>
        </w:rPr>
        <w:t>Youssef EL ACHAB</w:t>
      </w:r>
    </w:p>
    <w:p>
      <w:pPr>
        <w:spacing w:before="0" w:after="20" w:line="240" w:lineRule="auto"/>
      </w:pPr>
      <w:r>
        <w:rPr>
          <w:color w:val="1A1A1A"/>
          <w:sz w:val="24"/>
        </w:rPr>
        <w:t>chef de projet</w:t>
      </w:r>
    </w:p>
    <w:p>
      <w:pPr>
        <w:spacing w:before="0" w:after="80" w:line="240" w:lineRule="auto"/>
      </w:pPr>
      <w:r>
        <w:rPr>
          <w:color w:val="1A1A1A"/>
          <w:sz w:val="24"/>
        </w:rPr>
        <w:t>5 ans d'expérience</w:t>
      </w:r>
    </w:p>
    <w:p>
      <w:pPr>
        <w:spacing w:before="0" w:after="60" w:line="240" w:lineRule="auto"/>
      </w:pPr>
      <w:r>
        <w:rPr>
          <w:b/>
          <w:i/>
          <w:color w:val="E87722"/>
          <w:sz w:val="26"/>
        </w:rPr>
        <w:t>Compétences, Outils &amp; Secteurs d’intervention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w="1814" w:type="dxa"/>
            <w:tcBorders>
              <w:top w:val="single" w:sz="12" w:color="E87722" w:space="0"/>
              <w:left w:val="single" w:sz="12" w:color="E87722" w:space="0"/>
              <w:bottom w:val="single" w:sz="4" w:color="CCCCCC" w:space="0"/>
              <w:right w:val="single" w:sz="4" w:color="CCCCCC" w:space="0"/>
            </w:tcBorders>
            <w:tcMar>
              <w:top w:w="80" w:type="dxa"/>
              <w:left w:w="60" w:type="dxa"/>
              <w:bottom w:w="80" w:type="dxa"/>
              <w:right w:w="4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color w:val="5A5A5A"/>
                <w:sz w:val="18"/>
              </w:rPr>
              <w:t>Compétences</w:t>
            </w:r>
          </w:p>
        </w:tc>
        <w:tc>
          <w:tcPr>
            <w:tcW w:w="7824" w:type="dxa"/>
            <w:tcBorders>
              <w:top w:val="single" w:sz="4" w:color="E87722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  <w:tcMar>
              <w:top w:w="60" w:type="dxa"/>
              <w:left w:w="100" w:type="dxa"/>
              <w:bottom w:w="60" w:type="dxa"/>
              <w:right w:w="60" w:type="dxa"/>
            </w:tcMar>
            <w:vAlign w:val="top"/>
          </w:tcPr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Réalisations NTIC » dans le cadre de la refonte de l’espace client GMF (Devis</w:t>
            </w:r>
          </w:p>
        </w:tc>
      </w:tr>
      <w:tr>
        <w:tc>
          <w:tcPr>
            <w:tcW w:w="1814" w:type="dxa"/>
            <w:tcBorders>
              <w:top w:val="single" w:sz="4" w:color="CCCCCC" w:space="0"/>
              <w:left w:val="single" w:sz="12" w:color="E87722" w:space="0"/>
              <w:bottom w:val="single" w:sz="4" w:color="CCCCCC" w:space="0"/>
              <w:right w:val="single" w:sz="4" w:color="CCCCCC" w:space="0"/>
            </w:tcBorders>
            <w:tcMar>
              <w:top w:w="80" w:type="dxa"/>
              <w:left w:w="60" w:type="dxa"/>
              <w:bottom w:w="80" w:type="dxa"/>
              <w:right w:w="4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color w:val="5A5A5A"/>
                <w:sz w:val="18"/>
              </w:rPr>
              <w:t>assurances IARD, Déclarations de Sinistres)</w:t>
            </w:r>
          </w:p>
        </w:tc>
        <w:tc>
          <w:tcPr>
            <w:tcW w:w="7824" w:type="dx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  <w:tcMar>
              <w:top w:w="60" w:type="dxa"/>
              <w:left w:w="100" w:type="dxa"/>
              <w:bottom w:w="60" w:type="dxa"/>
              <w:right w:w="60" w:type="dxa"/>
            </w:tcMar>
            <w:vAlign w:val="top"/>
          </w:tcPr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Etude des socles techniques de l’espace client existant, en termes d’IHMs et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de services B2B.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Etudes de migration de l’existant vers la technologie JSF 2.0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Expertise JSF2.0 dans le cadre de la refonte des IHMs de l’existant (Passage de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Struts à JSF 2.0 en utilisant la librairie primeFaces).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Conception et Développement d’IHMs JSF2.0 offrant de nouveaux services.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Traitement des retours d’anomalies et corrections de bugs.</w:t>
            </w:r>
          </w:p>
        </w:tc>
      </w:tr>
      <w:tr>
        <w:tc>
          <w:tcPr>
            <w:tcW w:w="1814" w:type="dxa"/>
            <w:tcBorders>
              <w:top w:val="single" w:sz="4" w:color="CCCCCC" w:space="0"/>
              <w:left w:val="single" w:sz="12" w:color="E87722" w:space="0"/>
              <w:bottom w:val="single" w:sz="4" w:color="CCCCCC" w:space="0"/>
              <w:right w:val="single" w:sz="4" w:color="CCCCCC" w:space="0"/>
            </w:tcBorders>
            <w:tcMar>
              <w:top w:w="80" w:type="dxa"/>
              <w:left w:w="60" w:type="dxa"/>
              <w:bottom w:w="80" w:type="dxa"/>
              <w:right w:w="4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color w:val="5A5A5A"/>
                <w:sz w:val="18"/>
              </w:rPr>
              <w:t>Technologies et outils utilisés au quotidien</w:t>
            </w:r>
          </w:p>
        </w:tc>
        <w:tc>
          <w:tcPr>
            <w:tcW w:w="7824" w:type="dx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  <w:tcMar>
              <w:top w:w="60" w:type="dxa"/>
              <w:left w:w="100" w:type="dxa"/>
              <w:bottom w:w="60" w:type="dxa"/>
              <w:right w:w="60" w:type="dxa"/>
            </w:tcMar>
            <w:vAlign w:val="top"/>
          </w:tcPr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JAVA Core / J2EE (JSF2.0, PrimeFaces), UML</w:t>
            </w:r>
          </w:p>
        </w:tc>
      </w:tr>
      <w:tr>
        <w:tc>
          <w:tcPr>
            <w:tcW w:w="1814" w:type="dxa"/>
            <w:tcBorders>
              <w:top w:val="single" w:sz="4" w:color="CCCCCC" w:space="0"/>
              <w:left w:val="single" w:sz="12" w:color="E87722" w:space="0"/>
              <w:bottom w:val="single" w:sz="4" w:color="CCCCCC" w:space="0"/>
              <w:right w:val="single" w:sz="4" w:color="CCCCCC" w:space="0"/>
            </w:tcBorders>
            <w:tcMar>
              <w:top w:w="80" w:type="dxa"/>
              <w:left w:w="60" w:type="dxa"/>
              <w:bottom w:w="80" w:type="dxa"/>
              <w:right w:w="4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color w:val="5A5A5A"/>
                <w:sz w:val="18"/>
              </w:rPr>
              <w:t>SQL.</w:t>
            </w:r>
          </w:p>
        </w:tc>
        <w:tc>
          <w:tcPr>
            <w:tcW w:w="7824" w:type="dx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  <w:tcMar>
              <w:top w:w="60" w:type="dxa"/>
              <w:left w:w="100" w:type="dxa"/>
              <w:bottom w:w="60" w:type="dxa"/>
              <w:right w:w="60" w:type="dxa"/>
            </w:tcMar>
            <w:vAlign w:val="top"/>
          </w:tcPr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Eclipse.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Maven.</w:t>
            </w:r>
          </w:p>
        </w:tc>
      </w:tr>
      <w:tr>
        <w:tc>
          <w:tcPr>
            <w:tcW w:w="1814" w:type="dxa"/>
            <w:tcBorders>
              <w:top w:val="single" w:sz="4" w:color="CCCCCC" w:space="0"/>
              <w:left w:val="single" w:sz="12" w:color="E87722" w:space="0"/>
              <w:bottom w:val="single" w:sz="4" w:color="CCCCCC" w:space="0"/>
              <w:right w:val="single" w:sz="4" w:color="CCCCCC" w:space="0"/>
            </w:tcBorders>
            <w:tcMar>
              <w:top w:w="80" w:type="dxa"/>
              <w:left w:w="60" w:type="dxa"/>
              <w:bottom w:w="80" w:type="dxa"/>
              <w:right w:w="4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color w:val="5A5A5A"/>
                <w:sz w:val="18"/>
              </w:rPr>
              <w:t>DB2.</w:t>
            </w:r>
          </w:p>
        </w:tc>
        <w:tc>
          <w:tcPr>
            <w:tcW w:w="7824" w:type="dx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  <w:tcMar>
              <w:top w:w="60" w:type="dxa"/>
              <w:left w:w="100" w:type="dxa"/>
              <w:bottom w:w="60" w:type="dxa"/>
              <w:right w:w="60" w:type="dxa"/>
            </w:tcMar>
            <w:vAlign w:val="top"/>
          </w:tcPr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Serveur WAS 8 (Websphere)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Unix.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Mantis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Subversion (SVN).</w:t>
            </w:r>
          </w:p>
        </w:tc>
      </w:tr>
      <w:tr>
        <w:tc>
          <w:tcPr>
            <w:tcW w:w="1814" w:type="dxa"/>
            <w:tcBorders>
              <w:top w:val="single" w:sz="4" w:color="CCCCCC" w:space="0"/>
              <w:left w:val="single" w:sz="12" w:color="E87722" w:space="0"/>
              <w:bottom w:val="single" w:sz="4" w:color="CCCCCC" w:space="0"/>
              <w:right w:val="single" w:sz="4" w:color="CCCCCC" w:space="0"/>
            </w:tcBorders>
            <w:tcMar>
              <w:top w:w="80" w:type="dxa"/>
              <w:left w:w="60" w:type="dxa"/>
              <w:bottom w:w="80" w:type="dxa"/>
              <w:right w:w="4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color w:val="5A5A5A"/>
                <w:sz w:val="18"/>
              </w:rPr>
              <w:t>HERTZ</w:t>
            </w:r>
          </w:p>
        </w:tc>
        <w:tc>
          <w:tcPr>
            <w:tcW w:w="7824" w:type="dx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  <w:tcMar>
              <w:top w:w="60" w:type="dxa"/>
              <w:left w:w="100" w:type="dxa"/>
              <w:bottom w:w="60" w:type="dxa"/>
              <w:right w:w="60" w:type="dxa"/>
            </w:tcMar>
            <w:vAlign w:val="top"/>
          </w:tcPr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technique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Projet de Personnalisation de la solution HERTZ Pour AIR FRANCE – Paris 3 ème.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Personnalisation de la solution de HERTZ (Application de gestion des réservations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de location de voitures HERTZ) pour les clients abonnés d’AIR FRANCE :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Rédaction de spécifications techniques détaillées.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Développement de programmes en JSF 2.0 / Spring / Spring batch.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Gestion et correction des anomalies retournées après la phase tests et recettes.</w:t>
            </w:r>
          </w:p>
        </w:tc>
      </w:tr>
      <w:tr>
        <w:tc>
          <w:tcPr>
            <w:tcW w:w="1814" w:type="dxa"/>
            <w:tcBorders>
              <w:top w:val="single" w:sz="4" w:color="CCCCCC" w:space="0"/>
              <w:left w:val="single" w:sz="12" w:color="E87722" w:space="0"/>
              <w:bottom w:val="single" w:sz="4" w:color="CCCCCC" w:space="0"/>
              <w:right w:val="single" w:sz="4" w:color="CCCCCC" w:space="0"/>
            </w:tcBorders>
            <w:tcMar>
              <w:top w:w="80" w:type="dxa"/>
              <w:left w:w="60" w:type="dxa"/>
              <w:bottom w:w="80" w:type="dxa"/>
              <w:right w:w="4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color w:val="5A5A5A"/>
                <w:sz w:val="18"/>
              </w:rPr>
              <w:t>Technologies et outils utilisés au quotidien</w:t>
            </w:r>
          </w:p>
        </w:tc>
        <w:tc>
          <w:tcPr>
            <w:tcW w:w="7824" w:type="dx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  <w:tcMar>
              <w:top w:w="60" w:type="dxa"/>
              <w:left w:w="100" w:type="dxa"/>
              <w:bottom w:w="60" w:type="dxa"/>
              <w:right w:w="60" w:type="dxa"/>
            </w:tcMar>
            <w:vAlign w:val="top"/>
          </w:tcPr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JAVA Core / J2EE, JSF, JMS, JAVASCRIPT, spring batch, spring, Perl, Shell.</w:t>
            </w:r>
          </w:p>
        </w:tc>
      </w:tr>
      <w:tr>
        <w:tc>
          <w:tcPr>
            <w:tcW w:w="1814" w:type="dxa"/>
            <w:tcBorders>
              <w:top w:val="single" w:sz="4" w:color="CCCCCC" w:space="0"/>
              <w:left w:val="single" w:sz="12" w:color="E87722" w:space="0"/>
              <w:bottom w:val="single" w:sz="4" w:color="CCCCCC" w:space="0"/>
              <w:right w:val="single" w:sz="4" w:color="CCCCCC" w:space="0"/>
            </w:tcBorders>
            <w:tcMar>
              <w:top w:w="80" w:type="dxa"/>
              <w:left w:w="60" w:type="dxa"/>
              <w:bottom w:w="80" w:type="dxa"/>
              <w:right w:w="4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color w:val="5A5A5A"/>
                <w:sz w:val="18"/>
              </w:rPr>
              <w:t>SQL.</w:t>
            </w:r>
          </w:p>
        </w:tc>
        <w:tc>
          <w:tcPr>
            <w:tcW w:w="7824" w:type="dx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  <w:tcMar>
              <w:top w:w="60" w:type="dxa"/>
              <w:left w:w="100" w:type="dxa"/>
              <w:bottom w:w="60" w:type="dxa"/>
              <w:right w:w="60" w:type="dxa"/>
            </w:tcMar>
            <w:vAlign w:val="top"/>
          </w:tcPr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Eclipse.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Maven.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Oracle.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Unix.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Subversion (SVN).</w:t>
            </w:r>
          </w:p>
        </w:tc>
      </w:tr>
      <w:tr>
        <w:tc>
          <w:tcPr>
            <w:tcW w:w="1814" w:type="dxa"/>
            <w:tcBorders>
              <w:top w:val="single" w:sz="4" w:color="CCCCCC" w:space="0"/>
              <w:left w:val="single" w:sz="12" w:color="E87722" w:space="0"/>
              <w:bottom w:val="single" w:sz="4" w:color="CCCCCC" w:space="0"/>
              <w:right w:val="single" w:sz="4" w:color="CCCCCC" w:space="0"/>
            </w:tcBorders>
            <w:tcMar>
              <w:top w:w="80" w:type="dxa"/>
              <w:left w:w="60" w:type="dxa"/>
              <w:bottom w:w="80" w:type="dxa"/>
              <w:right w:w="4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color w:val="5A5A5A"/>
                <w:sz w:val="18"/>
              </w:rPr>
              <w:t>NATIXIS</w:t>
            </w:r>
          </w:p>
        </w:tc>
        <w:tc>
          <w:tcPr>
            <w:tcW w:w="7824" w:type="dx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  <w:tcMar>
              <w:top w:w="60" w:type="dxa"/>
              <w:left w:w="100" w:type="dxa"/>
              <w:bottom w:w="60" w:type="dxa"/>
              <w:right w:w="60" w:type="dxa"/>
            </w:tcMar>
            <w:vAlign w:val="top"/>
          </w:tcPr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et Référent technique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Direction des études NATIXIS – Équipe Front Office – Paris Bercy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Gestion de la plateforme dédiée à l’activité de gestion du crédit de consommation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(Souscription, Service après Vente) pour le compte des partenaires bancaires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Banque populaire et Caisse d’Épargne.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Maintenance Corrective, Support utilisateur, Etudes fonctionnelles : Traitement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des anomalies et incidents de production signalés par les utilisateurs finaux via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l’outil HP Quality Center (Analyse et Correction), Rédaction de spécifications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techniques détaillées, Étude des impacts des demandes d’évolutions métier sur le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SI existant, Suivi et coordination des travaux (évolutions, maintenance, mise en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production, projet de migration de la version 2 de sphinx (Framework maison de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Natixis) à la version 3).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Maintenance Evolutive : Réalisations techniques des évolutions demandées par le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métier et rédaction de la documentation technique.</w:t>
            </w:r>
          </w:p>
        </w:tc>
      </w:tr>
      <w:tr>
        <w:tc>
          <w:tcPr>
            <w:tcW w:w="1814" w:type="dxa"/>
            <w:tcBorders>
              <w:top w:val="single" w:sz="4" w:color="CCCCCC" w:space="0"/>
              <w:left w:val="single" w:sz="12" w:color="E87722" w:space="0"/>
              <w:bottom w:val="single" w:sz="4" w:color="CCCCCC" w:space="0"/>
              <w:right w:val="single" w:sz="4" w:color="CCCCCC" w:space="0"/>
            </w:tcBorders>
            <w:tcMar>
              <w:top w:w="80" w:type="dxa"/>
              <w:left w:w="60" w:type="dxa"/>
              <w:bottom w:w="80" w:type="dxa"/>
              <w:right w:w="4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color w:val="5A5A5A"/>
                <w:sz w:val="18"/>
              </w:rPr>
              <w:t>Technologies et Outils utilisés</w:t>
            </w:r>
          </w:p>
        </w:tc>
        <w:tc>
          <w:tcPr>
            <w:tcW w:w="7824" w:type="dx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  <w:tcMar>
              <w:top w:w="60" w:type="dxa"/>
              <w:left w:w="100" w:type="dxa"/>
              <w:bottom w:w="60" w:type="dxa"/>
              <w:right w:w="60" w:type="dxa"/>
            </w:tcMar>
            <w:vAlign w:val="top"/>
          </w:tcPr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JAVA Core / J2EE (JSF 2.0, Spring, Spring Batch, JMS), JAVASCRIPT, Perl, Scripts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Shell.</w:t>
            </w:r>
          </w:p>
        </w:tc>
      </w:tr>
      <w:tr>
        <w:tc>
          <w:tcPr>
            <w:tcW w:w="1814" w:type="dxa"/>
            <w:tcBorders>
              <w:top w:val="single" w:sz="4" w:color="CCCCCC" w:space="0"/>
              <w:left w:val="single" w:sz="12" w:color="E87722" w:space="0"/>
              <w:bottom w:val="single" w:sz="4" w:color="CCCCCC" w:space="0"/>
              <w:right w:val="single" w:sz="4" w:color="CCCCCC" w:space="0"/>
            </w:tcBorders>
            <w:tcMar>
              <w:top w:w="80" w:type="dxa"/>
              <w:left w:w="60" w:type="dxa"/>
              <w:bottom w:w="80" w:type="dxa"/>
              <w:right w:w="4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color w:val="5A5A5A"/>
                <w:sz w:val="18"/>
              </w:rPr>
              <w:t>PL/SQL</w:t>
            </w:r>
          </w:p>
        </w:tc>
        <w:tc>
          <w:tcPr>
            <w:tcW w:w="7824" w:type="dx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  <w:tcMar>
              <w:top w:w="60" w:type="dxa"/>
              <w:left w:w="100" w:type="dxa"/>
              <w:bottom w:w="60" w:type="dxa"/>
              <w:right w:w="60" w:type="dxa"/>
            </w:tcMar>
            <w:vAlign w:val="top"/>
          </w:tcPr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Eclipse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Weblogic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Dimension, SM (Service Manager).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HP Quality Center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Oracle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Sql Developer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Microsoft Office.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Consultant SI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BNP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Projet Marco Polo chez la BNP Personal Finance - Levallois Perret.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Réalisation d’une couche d’échange de données en JAVA/J2EE entre le front office</w:t>
            </w:r>
          </w:p>
        </w:tc>
      </w:tr>
      <w:tr>
        <w:tc>
          <w:tcPr>
            <w:tcW w:w="1814" w:type="dxa"/>
            <w:tcBorders>
              <w:top w:val="single" w:sz="4" w:color="CCCCCC" w:space="0"/>
              <w:left w:val="single" w:sz="12" w:color="E87722" w:space="0"/>
              <w:bottom w:val="single" w:sz="4" w:color="CCCCCC" w:space="0"/>
              <w:right w:val="single" w:sz="4" w:color="CCCCCC" w:space="0"/>
            </w:tcBorders>
            <w:tcMar>
              <w:top w:w="80" w:type="dxa"/>
              <w:left w:w="60" w:type="dxa"/>
              <w:bottom w:w="80" w:type="dxa"/>
              <w:right w:w="4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color w:val="5A5A5A"/>
                <w:sz w:val="18"/>
              </w:rPr>
              <w:t>et le back office de CETELEM Espagne</w:t>
            </w:r>
          </w:p>
        </w:tc>
        <w:tc>
          <w:tcPr>
            <w:tcW w:w="7824" w:type="dx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  <w:tcMar>
              <w:top w:w="60" w:type="dxa"/>
              <w:left w:w="100" w:type="dxa"/>
              <w:bottom w:w="60" w:type="dxa"/>
              <w:right w:w="60" w:type="dxa"/>
            </w:tcMar>
            <w:vAlign w:val="top"/>
          </w:tcPr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Rédaction de spécifications techniques détaillées (en Anglais)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Développement de programmes batch (JAVA/ Spring / Spring batch) assurant le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transfert de données du front office vers le back office de CETELEM Espagne et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vice versa.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Gestion et correction des anomalies retournées après la phase tests et recettes.</w:t>
            </w:r>
          </w:p>
        </w:tc>
      </w:tr>
      <w:tr>
        <w:tc>
          <w:tcPr>
            <w:tcW w:w="1814" w:type="dxa"/>
            <w:tcBorders>
              <w:top w:val="single" w:sz="4" w:color="CCCCCC" w:space="0"/>
              <w:left w:val="single" w:sz="12" w:color="E87722" w:space="0"/>
              <w:bottom w:val="single" w:sz="4" w:color="CCCCCC" w:space="0"/>
              <w:right w:val="single" w:sz="4" w:color="CCCCCC" w:space="0"/>
            </w:tcBorders>
            <w:tcMar>
              <w:top w:w="80" w:type="dxa"/>
              <w:left w:w="60" w:type="dxa"/>
              <w:bottom w:w="80" w:type="dxa"/>
              <w:right w:w="4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color w:val="5A5A5A"/>
                <w:sz w:val="18"/>
              </w:rPr>
              <w:t>Technologies et outils utilisés au quotidien</w:t>
            </w:r>
          </w:p>
        </w:tc>
        <w:tc>
          <w:tcPr>
            <w:tcW w:w="7824" w:type="dx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  <w:tcMar>
              <w:top w:w="60" w:type="dxa"/>
              <w:left w:w="100" w:type="dxa"/>
              <w:bottom w:w="60" w:type="dxa"/>
              <w:right w:w="60" w:type="dxa"/>
            </w:tcMar>
            <w:vAlign w:val="top"/>
          </w:tcPr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JAVA Core / J2EE, Spring batch, Spring, Perl, Scripts Shell.</w:t>
            </w:r>
          </w:p>
        </w:tc>
      </w:tr>
      <w:tr>
        <w:tc>
          <w:tcPr>
            <w:tcW w:w="1814" w:type="dxa"/>
            <w:tcBorders>
              <w:top w:val="single" w:sz="4" w:color="CCCCCC" w:space="0"/>
              <w:left w:val="single" w:sz="12" w:color="E87722" w:space="0"/>
              <w:bottom w:val="single" w:sz="4" w:color="CCCCCC" w:space="0"/>
              <w:right w:val="single" w:sz="4" w:color="CCCCCC" w:space="0"/>
            </w:tcBorders>
            <w:tcMar>
              <w:top w:w="80" w:type="dxa"/>
              <w:left w:w="60" w:type="dxa"/>
              <w:bottom w:w="80" w:type="dxa"/>
              <w:right w:w="4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color w:val="5A5A5A"/>
                <w:sz w:val="18"/>
              </w:rPr>
              <w:t>7 / 7</w:t>
            </w:r>
          </w:p>
        </w:tc>
        <w:tc>
          <w:tcPr>
            <w:tcW w:w="7824" w:type="dx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  <w:tcMar>
              <w:top w:w="60" w:type="dxa"/>
              <w:left w:w="100" w:type="dxa"/>
              <w:bottom w:w="60" w:type="dxa"/>
              <w:right w:w="60" w:type="dxa"/>
            </w:tcMar>
            <w:vAlign w:val="top"/>
          </w:tcPr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et développements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Eclipse.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Progiciel EKIP.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Oracle.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Quality Center.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Unix.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Subversion (SVN).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Design Patterns J2EE.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Anglais (rédactionnel et oral) au quotidien comme le projet est d’envergure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Internationale.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Consultant SI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BNP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et développements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Projet Symphonie pour le client suisse BP2I (société créée par BNP et IBM) - Levallois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Perret.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Réalisation d’un portail (application J2EE) pour la gestion du parc informatique de</w:t>
            </w:r>
          </w:p>
        </w:tc>
      </w:tr>
      <w:tr>
        <w:tc>
          <w:tcPr>
            <w:tcW w:w="1814" w:type="dxa"/>
            <w:tcBorders>
              <w:top w:val="single" w:sz="4" w:color="CCCCCC" w:space="0"/>
              <w:left w:val="single" w:sz="12" w:color="E87722" w:space="0"/>
              <w:bottom w:val="single" w:sz="4" w:color="CCCCCC" w:space="0"/>
              <w:right w:val="single" w:sz="4" w:color="CCCCCC" w:space="0"/>
            </w:tcBorders>
            <w:tcMar>
              <w:top w:w="80" w:type="dxa"/>
              <w:left w:w="60" w:type="dxa"/>
              <w:bottom w:w="80" w:type="dxa"/>
              <w:right w:w="4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color w:val="5A5A5A"/>
                <w:sz w:val="18"/>
              </w:rPr>
              <w:t>la BNP</w:t>
            </w:r>
          </w:p>
        </w:tc>
        <w:tc>
          <w:tcPr>
            <w:tcW w:w="7824" w:type="dx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  <w:tcMar>
              <w:top w:w="60" w:type="dxa"/>
              <w:left w:w="100" w:type="dxa"/>
              <w:bottom w:w="60" w:type="dxa"/>
              <w:right w:w="60" w:type="dxa"/>
            </w:tcMar>
            <w:vAlign w:val="top"/>
          </w:tcPr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Recueil du besoin client.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Elaboration des spécifications fonctionnelles.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Modélisation de Processus Métier et implémentation technique avec TIBCO.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Développement de l’application (organisée en modules).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Accompagnement du client lors des mises en production et gestion des retours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d’anomalies.</w:t>
            </w:r>
          </w:p>
        </w:tc>
      </w:tr>
      <w:tr>
        <w:tc>
          <w:tcPr>
            <w:tcW w:w="1814" w:type="dxa"/>
            <w:tcBorders>
              <w:top w:val="single" w:sz="4" w:color="CCCCCC" w:space="0"/>
              <w:left w:val="single" w:sz="12" w:color="E87722" w:space="0"/>
              <w:bottom w:val="single" w:sz="4" w:color="CCCCCC" w:space="0"/>
              <w:right w:val="single" w:sz="4" w:color="CCCCCC" w:space="0"/>
            </w:tcBorders>
            <w:tcMar>
              <w:top w:w="80" w:type="dxa"/>
              <w:left w:w="60" w:type="dxa"/>
              <w:bottom w:w="80" w:type="dxa"/>
              <w:right w:w="4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color w:val="5A5A5A"/>
                <w:sz w:val="18"/>
              </w:rPr>
              <w:t>Technologies et outils utilisés au quotidien</w:t>
            </w:r>
          </w:p>
        </w:tc>
        <w:tc>
          <w:tcPr>
            <w:tcW w:w="7824" w:type="dx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  <w:tcMar>
              <w:top w:w="60" w:type="dxa"/>
              <w:left w:w="100" w:type="dxa"/>
              <w:bottom w:w="60" w:type="dxa"/>
              <w:right w:w="60" w:type="dxa"/>
            </w:tcMar>
            <w:vAlign w:val="top"/>
          </w:tcPr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Eclipse, Maven, Produits TIBCO (Business Studio, Business Works, I Process).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JAVASCRIPT, AJAX, EXTJS (Framework JavaScript) pour l’IHM de l’application.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Web Services CXF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JAVA/J2EE, SPRING (comme socle technique), SQL.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Serveur Websphère.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Subversion (SVN).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Oracle (PL/SQL), JIRA.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Consultant SI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EDF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Consultant SI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Projet SI Producteurs chez le client EDF – Paris La Défense.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Cartographie des méthodes de travail de l’équipe Conseil - AMOA du SI</w:t>
            </w:r>
          </w:p>
        </w:tc>
      </w:tr>
      <w:tr>
        <w:tc>
          <w:tcPr>
            <w:tcW w:w="1814" w:type="dxa"/>
            <w:tcBorders>
              <w:top w:val="single" w:sz="4" w:color="CCCCCC" w:space="0"/>
              <w:left w:val="single" w:sz="12" w:color="E87722" w:space="0"/>
              <w:bottom w:val="single" w:sz="4" w:color="CCCCCC" w:space="0"/>
              <w:right w:val="single" w:sz="4" w:color="CCCCCC" w:space="0"/>
            </w:tcBorders>
            <w:tcMar>
              <w:top w:w="80" w:type="dxa"/>
              <w:left w:w="60" w:type="dxa"/>
              <w:bottom w:w="80" w:type="dxa"/>
              <w:right w:w="4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color w:val="5A5A5A"/>
                <w:sz w:val="18"/>
              </w:rPr>
              <w:t>Producteurs</w:t>
            </w:r>
          </w:p>
        </w:tc>
        <w:tc>
          <w:tcPr>
            <w:tcW w:w="7824" w:type="dx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  <w:tcMar>
              <w:top w:w="60" w:type="dxa"/>
              <w:left w:w="100" w:type="dxa"/>
              <w:bottom w:w="60" w:type="dxa"/>
              <w:right w:w="60" w:type="dxa"/>
            </w:tcMar>
            <w:vAlign w:val="top"/>
          </w:tcPr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Formalisation du processus de pilotage des évolutions du SI, processus projet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(des spécifications fonctionnelles à la conduite du changement), processus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de traitement des demandes métier, processus de planification des paliers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(Evolutions du SI).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Définition et élaboration de modèles des différents livrables liés à chaque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processus.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Cartographie de processus métier de comptage d’EDF liés au SI Producteurs.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Réalisation d’un outil de vérification de la validité d’un RIB bancaire, en Visual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Basic (VB).</w:t>
            </w:r>
          </w:p>
        </w:tc>
      </w:tr>
      <w:tr>
        <w:tc>
          <w:tcPr>
            <w:tcW w:w="1814" w:type="dxa"/>
            <w:tcBorders>
              <w:top w:val="single" w:sz="4" w:color="CCCCCC" w:space="0"/>
              <w:left w:val="single" w:sz="12" w:color="E87722" w:space="0"/>
              <w:bottom w:val="single" w:sz="12" w:color="E87722" w:space="0"/>
              <w:right w:val="single" w:sz="4" w:color="CCCCCC" w:space="0"/>
            </w:tcBorders>
            <w:tcMar>
              <w:top w:w="80" w:type="dxa"/>
              <w:left w:w="60" w:type="dxa"/>
              <w:bottom w:w="80" w:type="dxa"/>
              <w:right w:w="4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color w:val="5A5A5A"/>
                <w:sz w:val="18"/>
              </w:rPr>
              <w:t>CEDICAM</w:t>
            </w:r>
          </w:p>
        </w:tc>
        <w:tc>
          <w:tcPr>
            <w:tcW w:w="7824" w:type="dxa"/>
            <w:tcBorders>
              <w:top w:val="single" w:sz="4" w:color="CCCCCC" w:space="0"/>
              <w:left w:val="single" w:sz="4" w:color="CCCCCC" w:space="0"/>
              <w:bottom w:val="single" w:sz="4" w:color="E87722" w:space="0"/>
              <w:right w:val="single" w:sz="4" w:color="CCCCCC" w:space="0"/>
            </w:tcBorders>
            <w:tcMar>
              <w:top w:w="60" w:type="dxa"/>
              <w:left w:w="100" w:type="dxa"/>
              <w:bottom w:w="60" w:type="dxa"/>
              <w:right w:w="60" w:type="dxa"/>
            </w:tcMar>
            <w:vAlign w:val="top"/>
          </w:tcPr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Consultant SI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Projet Monétique avec l’entreprise CEDICAM - Groupe Crédit Agricole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Établissement d’un état de l’art sur les nouveaux moyens de paiement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permettant de réaliser les transactions B2B, B2C et C2C, et étude des impacts sur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les architectures des SI bancaires et plus particulièrement monétiques.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Collecte, Compréhension, et Analyse des besoins du CEDICAM.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Rédaction du cahier des charges et Planification du travail à réaliser.</w:t>
            </w:r>
          </w:p>
          <w:p>
            <w:pPr>
              <w:spacing w:before="0" w:after="20" w:line="240" w:lineRule="auto"/>
              <w:ind w:left="85"/>
            </w:pPr>
            <w:r>
              <w:rPr>
                <w:color w:val="1A1A1A"/>
                <w:sz w:val="17"/>
              </w:rPr>
              <w:t>•  Réunions de pilotage hebdomadaires pour le cadrage et le suivi du projet.</w:t>
            </w:r>
          </w:p>
        </w:tc>
      </w:tr>
    </w:tbl>
    <w:p>
      <w:pPr>
        <w:spacing w:before="120" w:after="60" w:line="240" w:lineRule="auto"/>
      </w:pPr>
      <w:r>
        <w:rPr>
          <w:b/>
          <w:i/>
          <w:color w:val="E87722"/>
          <w:sz w:val="26"/>
        </w:rPr>
        <w:t>Formation, Langues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w="1814" w:type="dxa"/>
            <w:tcBorders>
              <w:top w:val="single" w:sz="12" w:color="E87722" w:space="0"/>
              <w:left w:val="single" w:sz="12" w:color="E87722" w:space="0"/>
              <w:bottom w:val="single" w:sz="4" w:color="CCCCCC" w:space="0"/>
              <w:right w:val="single" w:sz="4" w:color="CCCCCC" w:space="0"/>
            </w:tcBorders>
            <w:tcMar>
              <w:top w:w="80" w:type="dxa"/>
              <w:left w:w="60" w:type="dxa"/>
              <w:bottom w:w="80" w:type="dxa"/>
              <w:right w:w="4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color w:val="5A5A5A"/>
                <w:sz w:val="18"/>
              </w:rPr>
              <w:t>Formation</w:t>
            </w:r>
          </w:p>
        </w:tc>
        <w:tc>
          <w:tcPr>
            <w:tcW w:w="7824" w:type="dxa"/>
            <w:tcBorders>
              <w:top w:val="single" w:sz="4" w:color="E87722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  <w:tcMar>
              <w:top w:w="60" w:type="dxa"/>
              <w:left w:w="100" w:type="dxa"/>
              <w:bottom w:w="60" w:type="dxa"/>
              <w:right w:w="6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color w:val="1A1A1A"/>
                <w:sz w:val="18"/>
              </w:rPr>
              <w:t>❖ Technologies et outils utilisés au quotidien :</w:t>
            </w:r>
          </w:p>
          <w:p>
            <w:pPr>
              <w:spacing w:before="0" w:after="20" w:line="240" w:lineRule="auto"/>
            </w:pPr>
            <w:r>
              <w:rPr>
                <w:color w:val="1A1A1A"/>
                <w:sz w:val="18"/>
              </w:rPr>
              <w:t>➢ JAVA Core / J2EE (JSF/Richfaces, CXF, Spring, Hibernate), UML</w:t>
            </w:r>
          </w:p>
          <w:p>
            <w:pPr>
              <w:spacing w:before="0" w:after="20" w:line="240" w:lineRule="auto"/>
            </w:pPr>
            <w:r>
              <w:rPr>
                <w:color w:val="1A1A1A"/>
                <w:sz w:val="18"/>
              </w:rPr>
              <w:t>➢ SQL.</w:t>
            </w:r>
          </w:p>
          <w:p>
            <w:pPr>
              <w:spacing w:before="0" w:after="20" w:line="240" w:lineRule="auto"/>
            </w:pPr>
            <w:r>
              <w:rPr>
                <w:color w:val="1A1A1A"/>
                <w:sz w:val="18"/>
              </w:rPr>
              <w:t>➢ Eclipse.</w:t>
            </w:r>
          </w:p>
          <w:p>
            <w:pPr>
              <w:spacing w:before="0" w:after="20" w:line="240" w:lineRule="auto"/>
            </w:pPr>
            <w:r>
              <w:rPr>
                <w:color w:val="1A1A1A"/>
                <w:sz w:val="18"/>
              </w:rPr>
              <w:t>➢ Maven.</w:t>
            </w:r>
          </w:p>
          <w:p>
            <w:pPr>
              <w:spacing w:before="0" w:after="20" w:line="240" w:lineRule="auto"/>
            </w:pPr>
            <w:r>
              <w:rPr>
                <w:color w:val="1A1A1A"/>
                <w:sz w:val="18"/>
              </w:rPr>
              <w:t>➢ Jenkins</w:t>
            </w:r>
          </w:p>
          <w:p>
            <w:pPr>
              <w:spacing w:before="0" w:after="20" w:line="240" w:lineRule="auto"/>
            </w:pPr>
            <w:r>
              <w:rPr>
                <w:color w:val="1A1A1A"/>
                <w:sz w:val="18"/>
              </w:rPr>
              <w:t>➢ Oracle</w:t>
            </w:r>
          </w:p>
          <w:p>
            <w:pPr>
              <w:spacing w:before="0" w:after="20" w:line="240" w:lineRule="auto"/>
            </w:pPr>
            <w:r>
              <w:rPr>
                <w:color w:val="1A1A1A"/>
                <w:sz w:val="18"/>
              </w:rPr>
              <w:t>➢ Magic Draw</w:t>
            </w:r>
          </w:p>
          <w:p>
            <w:pPr>
              <w:spacing w:before="0" w:after="20" w:line="240" w:lineRule="auto"/>
            </w:pPr>
            <w:r>
              <w:rPr>
                <w:color w:val="1A1A1A"/>
                <w:sz w:val="18"/>
              </w:rPr>
              <w:t>➢ Serveur JBoss</w:t>
            </w:r>
          </w:p>
          <w:p>
            <w:pPr>
              <w:spacing w:before="0" w:after="20" w:line="240" w:lineRule="auto"/>
            </w:pPr>
            <w:r>
              <w:rPr>
                <w:color w:val="1A1A1A"/>
                <w:sz w:val="18"/>
              </w:rPr>
              <w:t>➢ Jira</w:t>
            </w:r>
          </w:p>
          <w:p>
            <w:pPr>
              <w:spacing w:before="0" w:after="20" w:line="240" w:lineRule="auto"/>
            </w:pPr>
            <w:r>
              <w:rPr>
                <w:color w:val="1A1A1A"/>
                <w:sz w:val="18"/>
              </w:rPr>
              <w:t>➢ Subversion (SVN).</w:t>
            </w:r>
          </w:p>
          <w:p>
            <w:pPr>
              <w:spacing w:before="0" w:after="20" w:line="240" w:lineRule="auto"/>
            </w:pPr>
            <w:r>
              <w:rPr>
                <w:color w:val="1A1A1A"/>
                <w:sz w:val="18"/>
              </w:rPr>
              <w:t>GMF Assurances</w:t>
            </w:r>
          </w:p>
          <w:p>
            <w:pPr>
              <w:spacing w:before="0" w:after="20" w:line="240" w:lineRule="auto"/>
            </w:pPr>
            <w:r>
              <w:rPr>
                <w:color w:val="1A1A1A"/>
                <w:sz w:val="18"/>
              </w:rPr>
              <w:t>08/2012 à 08/2013</w:t>
            </w:r>
          </w:p>
          <w:p>
            <w:pPr>
              <w:spacing w:before="0" w:after="20" w:line="240" w:lineRule="auto"/>
            </w:pPr>
            <w:r>
              <w:rPr>
                <w:color w:val="1A1A1A"/>
                <w:sz w:val="18"/>
              </w:rPr>
              <w:t>(12 mois)</w:t>
            </w:r>
          </w:p>
          <w:p>
            <w:pPr>
              <w:spacing w:before="0" w:after="20" w:line="240" w:lineRule="auto"/>
            </w:pPr>
            <w:r>
              <w:rPr>
                <w:color w:val="1A1A1A"/>
                <w:sz w:val="18"/>
              </w:rPr>
              <w:t>Rôle : Architecte, Référent technique</w:t>
            </w:r>
          </w:p>
          <w:p>
            <w:pPr>
              <w:spacing w:before="0" w:after="20" w:line="240" w:lineRule="auto"/>
            </w:pPr>
            <w:r>
              <w:rPr>
                <w:color w:val="1A1A1A"/>
                <w:sz w:val="18"/>
              </w:rPr>
              <w:t>Projet de Refonte de l’ESPACE SOCIETAIRE du site gmf.fr – Levallois Perret.</w:t>
            </w:r>
          </w:p>
        </w:tc>
      </w:tr>
      <w:tr>
        <w:tc>
          <w:tcPr>
            <w:tcW w:w="1814" w:type="dxa"/>
            <w:tcBorders>
              <w:top w:val="single" w:sz="4" w:color="CCCCCC" w:space="0"/>
              <w:left w:val="single" w:sz="12" w:color="E87722" w:space="0"/>
              <w:bottom w:val="single" w:sz="12" w:color="E87722" w:space="0"/>
              <w:right w:val="single" w:sz="4" w:color="CCCCCC" w:space="0"/>
            </w:tcBorders>
            <w:tcMar>
              <w:top w:w="80" w:type="dxa"/>
              <w:left w:w="60" w:type="dxa"/>
              <w:bottom w:w="80" w:type="dxa"/>
              <w:right w:w="4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color w:val="5A5A5A"/>
                <w:sz w:val="18"/>
              </w:rPr>
              <w:t>Certifications</w:t>
            </w:r>
          </w:p>
        </w:tc>
        <w:tc>
          <w:tcPr>
            <w:tcW w:w="7824" w:type="dxa"/>
            <w:tcBorders>
              <w:top w:val="single" w:sz="4" w:color="CCCCCC" w:space="0"/>
              <w:left w:val="single" w:sz="4" w:color="CCCCCC" w:space="0"/>
              <w:bottom w:val="single" w:sz="4" w:color="E87722" w:space="0"/>
              <w:right w:val="single" w:sz="4" w:color="CCCCCC" w:space="0"/>
            </w:tcBorders>
            <w:tcMar>
              <w:top w:w="60" w:type="dxa"/>
              <w:left w:w="100" w:type="dxa"/>
              <w:bottom w:w="60" w:type="dxa"/>
              <w:right w:w="6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color w:val="1A1A1A"/>
                <w:sz w:val="18"/>
              </w:rPr>
              <w:t>* Certification DevOps Foundation du Devops Institute</w:t>
            </w:r>
          </w:p>
          <w:p>
            <w:pPr>
              <w:spacing w:before="0" w:after="20" w:line="240" w:lineRule="auto"/>
            </w:pPr>
            <w:r>
              <w:rPr>
                <w:color w:val="1A1A1A"/>
                <w:sz w:val="18"/>
              </w:rPr>
              <w:t>* Certification PRINCE2® Certificate in Project Management</w:t>
            </w:r>
          </w:p>
          <w:p>
            <w:pPr>
              <w:spacing w:before="0" w:after="20" w:line="240" w:lineRule="auto"/>
            </w:pPr>
            <w:r>
              <w:rPr>
                <w:color w:val="1A1A1A"/>
                <w:sz w:val="18"/>
              </w:rPr>
              <w:t>* Certification AWS Certified Cloud Practitioner</w:t>
            </w:r>
          </w:p>
          <w:p>
            <w:pPr>
              <w:spacing w:before="0" w:after="20" w:line="240" w:lineRule="auto"/>
            </w:pPr>
            <w:r>
              <w:rPr>
                <w:color w:val="1A1A1A"/>
                <w:sz w:val="18"/>
              </w:rPr>
              <w:t>* Certification AWS Certified Developer - Associate</w:t>
            </w:r>
          </w:p>
          <w:p>
            <w:pPr>
              <w:spacing w:before="0" w:after="20" w:line="240" w:lineRule="auto"/>
            </w:pPr>
            <w:r>
              <w:rPr>
                <w:color w:val="1A1A1A"/>
                <w:sz w:val="18"/>
              </w:rPr>
              <w:t>* Certification AWS Certified Solutions Architect-Associate</w:t>
            </w:r>
          </w:p>
          <w:p>
            <w:pPr>
              <w:spacing w:before="0" w:after="20" w:line="240" w:lineRule="auto"/>
            </w:pPr>
            <w:r>
              <w:rPr>
                <w:color w:val="1A1A1A"/>
                <w:sz w:val="18"/>
              </w:rPr>
              <w:t>* Certification AWS Certified Security – Specialty</w:t>
            </w:r>
          </w:p>
          <w:p>
            <w:pPr>
              <w:spacing w:before="0" w:after="20" w:line="240" w:lineRule="auto"/>
            </w:pPr>
            <w:r>
              <w:rPr>
                <w:color w:val="1A1A1A"/>
                <w:sz w:val="18"/>
              </w:rPr>
              <w:t>2 / 7</w:t>
            </w:r>
          </w:p>
        </w:tc>
      </w:tr>
    </w:tbl>
    <w:p>
      <w:r>
        <w:br w:type="page"/>
      </w:r>
    </w:p>
    <w:p>
      <w:pPr>
        <w:spacing w:before="0" w:after="40" w:line="240" w:lineRule="auto"/>
      </w:pPr>
      <w:r>
        <w:rPr>
          <w:color w:val="1A1A1A"/>
          <w:sz w:val="26"/>
        </w:rPr>
        <w:t>Depuis 09/2020</w:t>
      </w:r>
    </w:p>
    <w:p>
      <w:pPr>
        <w:spacing w:before="0" w:after="60" w:line="240" w:lineRule="auto"/>
        <w:pBdr>
          <w:bottom w:val="single" w:sz="6" w:color="CCCCCC"/>
        </w:pBdr>
      </w:pPr>
    </w:p>
    <w:p>
      <w:pPr>
        <w:spacing w:before="0" w:after="60" w:line="240" w:lineRule="auto"/>
      </w:pPr>
      <w:r>
        <w:rPr>
          <w:b/>
          <w:sz w:val="18"/>
        </w:rPr>
        <w:t xml:space="preserve">Mission : </w:t>
      </w:r>
      <w:r>
        <w:rPr>
          <w:color w:val="1A1A1A"/>
          <w:sz w:val="18"/>
        </w:rPr>
        <w:t>Chef de Projet</w:t>
      </w:r>
    </w:p>
    <w:p>
      <w:pPr>
        <w:spacing w:before="40" w:after="20" w:line="240" w:lineRule="auto"/>
      </w:pPr>
      <w:r>
        <w:rPr>
          <w:b/>
          <w:color w:val="1A1A1A"/>
          <w:sz w:val="18"/>
        </w:rPr>
        <w:t>Réalisations :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DevOps/Cloud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Accompagnement de l’EFS dans la mise en œuvre de l’organisation agile/DevOps au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sein de ses équipes pluridisciplinaires, et Conduite de Projets Build et RUN en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environnement cloud Azure.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Coaching DevOps des équipes responsables du Build et du RUN sur plusieurs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projets Cloud Azure.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Conduite et Implémentation de chantiers BUILD et RUN en environnement Cloud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Azure.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Mise en place et gestion de toute la chaîne d'intégration continue et déploiement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continu (CI/CD).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Formation et constitution d’une équipe MCO afin d’assurer le RUN le support sur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les applications de l’EFS.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Environnement technique :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Cloud Azure (Infra, Patch Management, Sauvegarde, …)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Agilité et Méthodologies DevOps, Docker</w:t>
      </w:r>
    </w:p>
    <w:p>
      <w:r>
        <w:br w:type="page"/>
      </w:r>
    </w:p>
    <w:p>
      <w:pPr>
        <w:spacing w:before="0" w:after="40" w:line="240" w:lineRule="auto"/>
      </w:pPr>
      <w:r>
        <w:rPr>
          <w:color w:val="1A1A1A"/>
          <w:sz w:val="26"/>
        </w:rPr>
        <w:t>11/2019 à 07/2020</w:t>
      </w:r>
    </w:p>
    <w:p>
      <w:pPr>
        <w:spacing w:before="0" w:after="60" w:line="240" w:lineRule="auto"/>
        <w:pBdr>
          <w:bottom w:val="single" w:sz="6" w:color="CCCCCC"/>
        </w:pBdr>
      </w:pPr>
    </w:p>
    <w:p>
      <w:pPr>
        <w:spacing w:before="0" w:after="60" w:line="240" w:lineRule="auto"/>
      </w:pPr>
      <w:r>
        <w:rPr>
          <w:b/>
          <w:sz w:val="18"/>
        </w:rPr>
        <w:t xml:space="preserve">Mission : </w:t>
      </w:r>
      <w:r>
        <w:rPr>
          <w:color w:val="1A1A1A"/>
          <w:sz w:val="18"/>
        </w:rPr>
        <w:t>Chef de Projet</w:t>
      </w:r>
    </w:p>
    <w:p>
      <w:pPr>
        <w:spacing w:before="40" w:after="20" w:line="240" w:lineRule="auto"/>
      </w:pPr>
      <w:r>
        <w:rPr>
          <w:b/>
          <w:color w:val="1A1A1A"/>
          <w:sz w:val="18"/>
        </w:rPr>
        <w:t>Réalisations :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DevOps/Cloud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Accompagnement d’EDF dans l’automatisation du provisioning d’infrastructures et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des déploiements du progiciel édition des factures.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Coaching DevOps et CI/CD des équipes responsables de la mise en place de la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solution d’automatisation des infrastructures et du déploiement.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Formation des équipes sur azure et sur le cloud privé EDF.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Coordination des chantiers DevOps entre les différentes parties prenantes du SI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EDF.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Synchronisation de Roadmaps entre 3 équipes intervenant dans le build et le run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du progiciel édition de factures.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Environnement technique :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Cloud privé EDF (mycloud)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Méthodologie DevOps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AXA Assurances</w:t>
      </w:r>
    </w:p>
    <w:p>
      <w:r>
        <w:br w:type="page"/>
      </w:r>
    </w:p>
    <w:p>
      <w:pPr>
        <w:spacing w:before="0" w:after="40" w:line="240" w:lineRule="auto"/>
      </w:pPr>
      <w:r>
        <w:rPr>
          <w:color w:val="1A1A1A"/>
          <w:sz w:val="26"/>
        </w:rPr>
        <w:t>03/2019 à fin</w:t>
      </w:r>
    </w:p>
    <w:p>
      <w:pPr>
        <w:spacing w:before="0" w:after="60" w:line="240" w:lineRule="auto"/>
        <w:pBdr>
          <w:bottom w:val="single" w:sz="6" w:color="CCCCCC"/>
        </w:pBdr>
      </w:pPr>
    </w:p>
    <w:p>
      <w:r>
        <w:br w:type="page"/>
      </w:r>
    </w:p>
    <w:p>
      <w:pPr>
        <w:spacing w:before="0" w:after="40" w:line="240" w:lineRule="auto"/>
      </w:pPr>
      <w:r>
        <w:rPr>
          <w:color w:val="1A1A1A"/>
          <w:sz w:val="26"/>
        </w:rPr>
        <w:t>Septembre 2019 – (7 mois)</w:t>
      </w:r>
    </w:p>
    <w:p>
      <w:pPr>
        <w:spacing w:before="0" w:after="60" w:line="240" w:lineRule="auto"/>
        <w:pBdr>
          <w:bottom w:val="single" w:sz="6" w:color="CCCCCC"/>
        </w:pBdr>
      </w:pPr>
    </w:p>
    <w:p>
      <w:pPr>
        <w:spacing w:before="0" w:after="60" w:line="240" w:lineRule="auto"/>
      </w:pPr>
      <w:r>
        <w:rPr>
          <w:b/>
          <w:sz w:val="18"/>
        </w:rPr>
        <w:t xml:space="preserve">Mission : </w:t>
      </w:r>
      <w:r>
        <w:rPr>
          <w:color w:val="1A1A1A"/>
          <w:sz w:val="18"/>
        </w:rPr>
        <w:t>Chef de Projet/Expert DevOps</w:t>
      </w:r>
    </w:p>
    <w:p>
      <w:pPr>
        <w:spacing w:before="40" w:after="20" w:line="240" w:lineRule="auto"/>
      </w:pPr>
      <w:r>
        <w:rPr>
          <w:b/>
          <w:color w:val="1A1A1A"/>
          <w:sz w:val="18"/>
        </w:rPr>
        <w:t>Réalisations :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Cloud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Accompagnement au Programme « Quality and Speed Initiative» pour le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déploiement de transformation DevOps au sein des équipes des entités AXA Group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Operations.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Appui équipe Devops AXA Go pour mettre en place une approche et un framework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Assessments Devops et Agilité.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Organisation du planning des Assessments DevOps pour chaque entité Axa Go.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Conduite d’Assessments DevOps, Elaboration des différents livrables : Findings et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recommandations, Rating agilité, Roadmap et Planning d’implémentation des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recommandations et des axes d’amélioration des entités.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Mise en Place de Pipes CI/CD avec Azure DevOps.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Migration et déploiement d'application vers le Cloud AWS avec "Red Hat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OpenShift sur AWS".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Environnement technique :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AWS, Azure, Azure DevOps, Méthodologie DevOps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3 / 7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SANOFI</w:t>
      </w:r>
    </w:p>
    <w:p>
      <w:r>
        <w:br w:type="page"/>
      </w:r>
    </w:p>
    <w:p>
      <w:pPr>
        <w:spacing w:before="0" w:after="40" w:line="240" w:lineRule="auto"/>
      </w:pPr>
      <w:r>
        <w:rPr>
          <w:color w:val="1A1A1A"/>
          <w:sz w:val="26"/>
        </w:rPr>
        <w:t>11/2018 à 03/2019 – (3 mois)</w:t>
      </w:r>
    </w:p>
    <w:p>
      <w:pPr>
        <w:spacing w:before="0" w:after="60" w:line="240" w:lineRule="auto"/>
        <w:pBdr>
          <w:bottom w:val="single" w:sz="6" w:color="CCCCCC"/>
        </w:pBdr>
      </w:pPr>
    </w:p>
    <w:p>
      <w:pPr>
        <w:spacing w:before="0" w:after="60" w:line="240" w:lineRule="auto"/>
      </w:pPr>
      <w:r>
        <w:rPr>
          <w:b/>
          <w:sz w:val="18"/>
        </w:rPr>
        <w:t xml:space="preserve">Mission : </w:t>
      </w:r>
      <w:r>
        <w:rPr>
          <w:color w:val="1A1A1A"/>
          <w:sz w:val="18"/>
        </w:rPr>
        <w:t>Expert</w:t>
      </w:r>
    </w:p>
    <w:p>
      <w:pPr>
        <w:spacing w:before="40" w:after="20" w:line="240" w:lineRule="auto"/>
      </w:pPr>
      <w:r>
        <w:rPr>
          <w:b/>
          <w:color w:val="1A1A1A"/>
          <w:sz w:val="18"/>
        </w:rPr>
        <w:t>Réalisations :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DevOps/Cloud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Audit de la plateforme d'intégration et de déploiement "Mobile Apps Factory"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Etude et Compréhension de l'existant tant au niveau technique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qu'organisationnel.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POCs et Préconisations concernant les thèmes de Scan de vulnérabilités et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d'analyse de la qualité du code, au niveau d'un build CI/CD.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Environnement technique :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Azure, AKS (Azure Kubernetes Service)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Teamcity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Artifactory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XRay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Github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BNP Paribas</w:t>
      </w:r>
    </w:p>
    <w:p>
      <w:r>
        <w:br w:type="page"/>
      </w:r>
    </w:p>
    <w:p>
      <w:pPr>
        <w:spacing w:before="0" w:after="40" w:line="240" w:lineRule="auto"/>
      </w:pPr>
      <w:r>
        <w:rPr>
          <w:color w:val="1A1A1A"/>
          <w:sz w:val="26"/>
        </w:rPr>
        <w:t>04/2018 à 12/2018 – (9 mois)</w:t>
      </w:r>
    </w:p>
    <w:p>
      <w:pPr>
        <w:spacing w:before="0" w:after="60" w:line="240" w:lineRule="auto"/>
        <w:pBdr>
          <w:bottom w:val="single" w:sz="6" w:color="CCCCCC"/>
        </w:pBdr>
      </w:pPr>
    </w:p>
    <w:p>
      <w:pPr>
        <w:spacing w:before="0" w:after="60" w:line="240" w:lineRule="auto"/>
      </w:pPr>
      <w:r>
        <w:rPr>
          <w:b/>
          <w:sz w:val="18"/>
        </w:rPr>
        <w:t xml:space="preserve">Mission : </w:t>
      </w:r>
      <w:r>
        <w:rPr>
          <w:color w:val="1A1A1A"/>
          <w:sz w:val="18"/>
        </w:rPr>
        <w:t>Chef de Projet/Coach DevOps</w:t>
      </w:r>
    </w:p>
    <w:p>
      <w:pPr>
        <w:spacing w:before="40" w:after="20" w:line="240" w:lineRule="auto"/>
      </w:pPr>
      <w:r>
        <w:rPr>
          <w:b/>
          <w:color w:val="1A1A1A"/>
          <w:sz w:val="18"/>
        </w:rPr>
        <w:t>Réalisations :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Accompagnement au Programme DevOps GROUPE pour la discipline de déploiement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de transformation DevOps au sein des équipes IT.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Formalisation et d'analyse des besoins IT dans le but de proposer les solutions IT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Kubernetes.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Accompagnement des équipes Etudes en charge des projets et de la maintenance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des applications dans la phase d’intégration du DEVOPS.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Organisation et transition en RUN avec les équipes en charge de l'exploitation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quotidienne des services.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Environnement technique :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Jenkins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Jira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Confluence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Ansible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Docker/Kubernetes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Gitlab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Méthodologie DevOps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INA (Institut National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Audiovisuel)</w:t>
      </w:r>
    </w:p>
    <w:p>
      <w:pPr>
        <w:spacing w:before="80" w:after="0" w:line="240" w:lineRule="auto"/>
      </w:pPr>
      <w:r>
        <w:rPr>
          <w:b/>
          <w:sz w:val="18"/>
        </w:rPr>
        <w:t xml:space="preserve">Logiciels / Outils : </w:t>
      </w:r>
      <w:r>
        <w:rPr>
          <w:color w:val="1A1A1A"/>
          <w:sz w:val="18"/>
        </w:rPr>
        <w:t>❖ Mise en place et Suivi des déploiements/paramétrages de l'outillage sous</w:t>
      </w:r>
    </w:p>
    <w:p>
      <w:r>
        <w:br w:type="page"/>
      </w:r>
    </w:p>
    <w:p>
      <w:pPr>
        <w:spacing w:before="0" w:after="40" w:line="240" w:lineRule="auto"/>
      </w:pPr>
      <w:r>
        <w:rPr>
          <w:color w:val="1A1A1A"/>
          <w:sz w:val="26"/>
        </w:rPr>
        <w:t>04/2017 à 04/2018 – (12 mois)</w:t>
      </w:r>
    </w:p>
    <w:p>
      <w:pPr>
        <w:spacing w:before="0" w:after="60" w:line="240" w:lineRule="auto"/>
        <w:pBdr>
          <w:bottom w:val="single" w:sz="6" w:color="CCCCCC"/>
        </w:pBdr>
      </w:pPr>
    </w:p>
    <w:p>
      <w:pPr>
        <w:spacing w:before="0" w:after="60" w:line="240" w:lineRule="auto"/>
      </w:pPr>
      <w:r>
        <w:rPr>
          <w:b/>
          <w:sz w:val="18"/>
        </w:rPr>
        <w:t xml:space="preserve">Mission : </w:t>
      </w:r>
      <w:r>
        <w:rPr>
          <w:color w:val="1A1A1A"/>
          <w:sz w:val="18"/>
        </w:rPr>
        <w:t>Chef de Projet/Expert DevOps</w:t>
      </w:r>
    </w:p>
    <w:p>
      <w:pPr>
        <w:spacing w:before="40" w:after="20" w:line="240" w:lineRule="auto"/>
      </w:pPr>
      <w:r>
        <w:rPr>
          <w:b/>
          <w:color w:val="1A1A1A"/>
          <w:sz w:val="18"/>
        </w:rPr>
        <w:t>Réalisations :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Docker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Accompagnement de la DSI de l’INA dans la mise en œuvre de la démarche DevOps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au niveau organisationnel, culturel, et technique.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Etude de l’existant et définition de chantiers DevOps/intégration continue.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Formation de la cellule DevOps au sein de l’INA.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Planning et Animation de réunions.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Cadrage et Pilotage des chantiers définis en DevOps/intégration continue.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Dialogues directs avec le métier, équipes de développement, équipes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d’architectes, et les ops, pour diffuser les valeurs, principes, comportements et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bonnes pratiques DevOps.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Coordination des différentes équipes (DEV, INFRA) et suivi de l'avancement des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développements et des déploiements (Git, Jenkins, Nexus, environnements de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dev/test/recettes hébergés sous kubernetes en mode HA).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Dockerisation d’un ensemble d’applications métiers INA et déploiement en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microservices sous Kubernetes.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Environnement technique :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Jenkins, Maven, SONAR, Nexus, Méthodologie DevOps et Prince2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Docker, Chef, Kubernetes, XL Deploy/XL Release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4 / 7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HSBC</w:t>
      </w:r>
    </w:p>
    <w:p>
      <w:pPr>
        <w:spacing w:before="80" w:after="0" w:line="240" w:lineRule="auto"/>
      </w:pPr>
      <w:r>
        <w:rPr>
          <w:b/>
          <w:sz w:val="18"/>
        </w:rPr>
        <w:t xml:space="preserve">Logiciels / Outils : </w:t>
      </w:r>
      <w:r>
        <w:rPr>
          <w:color w:val="1A1A1A"/>
          <w:sz w:val="18"/>
        </w:rPr>
        <w:t>projets de mise en place de l'outillage assurant l'automatisation des</w:t>
      </w:r>
    </w:p>
    <w:p>
      <w:r>
        <w:br w:type="page"/>
      </w:r>
    </w:p>
    <w:p>
      <w:pPr>
        <w:spacing w:before="0" w:after="40" w:line="240" w:lineRule="auto"/>
      </w:pPr>
      <w:r>
        <w:rPr>
          <w:color w:val="1A1A1A"/>
          <w:sz w:val="26"/>
        </w:rPr>
        <w:t>05/2015 à Avril 2017 – (21 mois)</w:t>
      </w:r>
    </w:p>
    <w:p>
      <w:pPr>
        <w:spacing w:before="0" w:after="60" w:line="240" w:lineRule="auto"/>
        <w:pBdr>
          <w:bottom w:val="single" w:sz="6" w:color="CCCCCC"/>
        </w:pBdr>
      </w:pPr>
    </w:p>
    <w:p>
      <w:pPr>
        <w:spacing w:before="0" w:after="60" w:line="240" w:lineRule="auto"/>
      </w:pPr>
      <w:r>
        <w:rPr>
          <w:b/>
          <w:sz w:val="18"/>
        </w:rPr>
        <w:t xml:space="preserve">Mission : </w:t>
      </w:r>
      <w:r>
        <w:rPr>
          <w:color w:val="1A1A1A"/>
          <w:sz w:val="18"/>
        </w:rPr>
        <w:t>Expert DevOps/</w:t>
      </w:r>
    </w:p>
    <w:p>
      <w:pPr>
        <w:spacing w:before="40" w:after="20" w:line="240" w:lineRule="auto"/>
      </w:pPr>
      <w:r>
        <w:rPr>
          <w:b/>
          <w:color w:val="1A1A1A"/>
          <w:sz w:val="18"/>
        </w:rPr>
        <w:t>Réalisations :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Docker/ Intégration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continue (Jenkins, Maven, Sonar) et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Industrialisation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Projets CPM/SMP/GPS – Plateformes de calculs de projections financières de cash-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flows pour différents produits financiers, et d’échange de paiements interbancaires,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pour l’entité HSBC Paris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Mise en place d’une chaine complète d’intégration continue/livraison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continue/déploiement continue, aux normes des bonnes pratiques de DevOps,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pour les projets CPM/SMP/GPS/… :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Mise en place du serveur d’Intégration continue JENKINS.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Automatisation des tests unitaires et tests d’intégration.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Automatisation des tests d’acceptation et tests de performances.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Automatisation des builds et de packaging des applications et livrables.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Mise en place de l’analyse automatisée de la qualité du code.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Mise en place des déclenchements d’alertes et notifications.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Mise en place d'environnements de tests avec Docker.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Mise en place de déploiements automatisés dans différents environnements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(SIT, UAT, …).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Accompagnement des équipes de développement, des équipes de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méthodes de travail inspirés de la méthodologie et culture DevOps.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JAVA/ J2EE / Spring integration / Control M / PL/SQL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Jenkins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Maven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SONAR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Nexus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Méthodologie DevOps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Docker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Linux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Puppet , Ansible, Cloud AWS Amazon.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MEDIAPOST</w:t>
      </w:r>
    </w:p>
    <w:p>
      <w:pPr>
        <w:spacing w:before="80" w:after="0" w:line="240" w:lineRule="auto"/>
      </w:pPr>
      <w:r>
        <w:rPr>
          <w:b/>
          <w:sz w:val="18"/>
        </w:rPr>
        <w:t xml:space="preserve">Logiciels / Outils : </w:t>
      </w:r>
      <w:r>
        <w:rPr>
          <w:color w:val="1A1A1A"/>
          <w:sz w:val="18"/>
        </w:rPr>
        <w:t>❖ Technologies et outils utilisés au quotidien :</w:t>
      </w:r>
    </w:p>
    <w:p>
      <w:r>
        <w:br w:type="page"/>
      </w:r>
    </w:p>
    <w:p>
      <w:pPr>
        <w:spacing w:before="0" w:after="40" w:line="240" w:lineRule="auto"/>
      </w:pPr>
      <w:r>
        <w:rPr>
          <w:color w:val="1A1A1A"/>
          <w:sz w:val="26"/>
        </w:rPr>
        <w:t>09/2014 à 05/2015 – (8 mois)</w:t>
      </w:r>
    </w:p>
    <w:p>
      <w:pPr>
        <w:spacing w:before="0" w:after="60" w:line="240" w:lineRule="auto"/>
        <w:pBdr>
          <w:bottom w:val="single" w:sz="6" w:color="CCCCCC"/>
        </w:pBdr>
      </w:pPr>
    </w:p>
    <w:p>
      <w:pPr>
        <w:spacing w:before="0" w:after="60" w:line="240" w:lineRule="auto"/>
      </w:pPr>
      <w:r>
        <w:rPr>
          <w:b/>
          <w:sz w:val="18"/>
        </w:rPr>
        <w:t xml:space="preserve">Mission : </w:t>
      </w:r>
      <w:r>
        <w:rPr>
          <w:color w:val="1A1A1A"/>
          <w:sz w:val="18"/>
        </w:rPr>
        <w:t>Architecte, Référent technique</w:t>
      </w:r>
    </w:p>
    <w:p>
      <w:pPr>
        <w:spacing w:before="40" w:after="20" w:line="240" w:lineRule="auto"/>
      </w:pPr>
      <w:r>
        <w:rPr>
          <w:b/>
          <w:color w:val="1A1A1A"/>
          <w:sz w:val="18"/>
        </w:rPr>
        <w:t>Réalisations :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Projet COMMEDIA – Plateforme de contractualisation et gestion de campagnes</w:t>
      </w:r>
    </w:p>
    <w:p>
      <w:pPr>
        <w:spacing w:before="0" w:after="20" w:line="240" w:lineRule="auto"/>
        <w:ind w:left="283"/>
      </w:pPr>
      <w:r>
        <w:rPr>
          <w:color w:val="1A1A1A"/>
          <w:sz w:val="18"/>
        </w:rPr>
        <w:t>•  clients pour la distribution d’imprimés publicitaires dans les boîtes aux lettres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1134" w:bottom="170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before="0" w:after="0" w:line="240" w:lineRule="auto"/>
    </w:pPr>
    <w:r>
      <w:drawing>
        <wp:inline xmlns:a="http://schemas.openxmlformats.org/drawingml/2006/main" xmlns:pic="http://schemas.openxmlformats.org/drawingml/2006/picture">
          <wp:extent cx="2520000" cy="65854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up_logo_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20000" cy="65854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spacing w:before="0" w:after="0" w:line="240" w:lineRule="auto"/>
    </w:pPr>
    <w:r>
      <w:drawing>
        <wp:inline xmlns:a="http://schemas.openxmlformats.org/drawingml/2006/main" xmlns:pic="http://schemas.openxmlformats.org/drawingml/2006/picture">
          <wp:extent cx="1512000" cy="54635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up_logo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2000" cy="54635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