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F8" w:rsidRPr="00997DE9" w:rsidRDefault="005616F8">
      <w:pPr>
        <w:rPr>
          <w:b/>
          <w:color w:val="44546A" w:themeColor="text2"/>
          <w:sz w:val="32"/>
          <w:lang w:val="en-US"/>
        </w:rPr>
      </w:pPr>
      <w:r w:rsidRPr="00997DE9">
        <w:rPr>
          <w:b/>
          <w:color w:val="44546A" w:themeColor="text2"/>
          <w:sz w:val="32"/>
          <w:lang w:val="en-US"/>
        </w:rPr>
        <w:t xml:space="preserve">Assessment of </w:t>
      </w:r>
      <w:r w:rsidR="00F270E5" w:rsidRPr="00997DE9">
        <w:rPr>
          <w:b/>
          <w:color w:val="44546A" w:themeColor="text2"/>
          <w:sz w:val="32"/>
          <w:lang w:val="en-US"/>
        </w:rPr>
        <w:t>individual</w:t>
      </w:r>
      <w:r w:rsidRPr="00997DE9">
        <w:rPr>
          <w:b/>
          <w:color w:val="44546A" w:themeColor="text2"/>
          <w:sz w:val="32"/>
          <w:lang w:val="en-US"/>
        </w:rPr>
        <w:t xml:space="preserve"> mitochondrial </w:t>
      </w:r>
      <w:r w:rsidR="00F270E5" w:rsidRPr="00997DE9">
        <w:rPr>
          <w:b/>
          <w:color w:val="44546A" w:themeColor="text2"/>
          <w:sz w:val="32"/>
          <w:lang w:val="en-US"/>
        </w:rPr>
        <w:t xml:space="preserve">respiratory chain </w:t>
      </w:r>
      <w:r w:rsidRPr="00997DE9">
        <w:rPr>
          <w:b/>
          <w:color w:val="44546A" w:themeColor="text2"/>
          <w:sz w:val="32"/>
          <w:lang w:val="en-US"/>
        </w:rPr>
        <w:t xml:space="preserve">complex activity with </w:t>
      </w:r>
      <w:r w:rsidR="00F270E5" w:rsidRPr="00997DE9">
        <w:rPr>
          <w:b/>
          <w:color w:val="44546A" w:themeColor="text2"/>
          <w:sz w:val="32"/>
          <w:lang w:val="en-US"/>
        </w:rPr>
        <w:t xml:space="preserve">permeabilized </w:t>
      </w:r>
      <w:r w:rsidRPr="00997DE9">
        <w:rPr>
          <w:b/>
          <w:color w:val="44546A" w:themeColor="text2"/>
          <w:sz w:val="32"/>
          <w:lang w:val="en-US"/>
        </w:rPr>
        <w:t>L</w:t>
      </w:r>
      <w:r w:rsidR="00F270E5" w:rsidRPr="00997DE9">
        <w:rPr>
          <w:b/>
          <w:color w:val="44546A" w:themeColor="text2"/>
          <w:sz w:val="32"/>
          <w:lang w:val="en-US"/>
        </w:rPr>
        <w:t>UHMES</w:t>
      </w:r>
      <w:r w:rsidRPr="00997DE9">
        <w:rPr>
          <w:b/>
          <w:color w:val="44546A" w:themeColor="text2"/>
          <w:sz w:val="32"/>
          <w:lang w:val="en-US"/>
        </w:rPr>
        <w:t xml:space="preserve"> cells</w:t>
      </w:r>
    </w:p>
    <w:p w:rsidR="005616F8" w:rsidRPr="00997DE9" w:rsidRDefault="005616F8" w:rsidP="005616F8">
      <w:pPr>
        <w:rPr>
          <w:lang w:val="en-US"/>
        </w:rPr>
      </w:pPr>
    </w:p>
    <w:p w:rsidR="00F270E5" w:rsidRPr="00997DE9" w:rsidRDefault="00F270E5" w:rsidP="00F270E5">
      <w:pPr>
        <w:pStyle w:val="0"/>
      </w:pPr>
      <w:r w:rsidRPr="00997DE9">
        <w:t>Introduction</w:t>
      </w:r>
    </w:p>
    <w:p w:rsidR="00F270E5" w:rsidRPr="00997DE9" w:rsidRDefault="00F270E5" w:rsidP="0031523F">
      <w:pPr>
        <w:pStyle w:val="1"/>
      </w:pPr>
      <w:r w:rsidRPr="00997DE9">
        <w:t>Aim</w:t>
      </w:r>
    </w:p>
    <w:p w:rsidR="00F270E5" w:rsidRPr="00997DE9" w:rsidRDefault="00F270E5" w:rsidP="00013F3D">
      <w:pPr>
        <w:rPr>
          <w:lang w:val="en-US"/>
        </w:rPr>
      </w:pPr>
      <w:r w:rsidRPr="00997DE9">
        <w:rPr>
          <w:lang w:val="en-US"/>
        </w:rPr>
        <w:t xml:space="preserve">This protocol describes the analysis of how to assess the activity of the mitochondrial respiratory chain complex I-IV activities by using selectively permeabilized LUHMES cells (human neuronal). </w:t>
      </w:r>
    </w:p>
    <w:p w:rsidR="00F270E5" w:rsidRPr="00997DE9" w:rsidRDefault="00F270E5" w:rsidP="0031523F">
      <w:pPr>
        <w:pStyle w:val="1"/>
      </w:pPr>
      <w:r w:rsidRPr="00997DE9">
        <w:t>Purpose</w:t>
      </w:r>
    </w:p>
    <w:p w:rsidR="00F270E5" w:rsidRPr="00997DE9" w:rsidRDefault="00F270E5" w:rsidP="00F270E5">
      <w:pPr>
        <w:rPr>
          <w:lang w:val="en-US"/>
        </w:rPr>
      </w:pPr>
      <w:r w:rsidRPr="00997DE9">
        <w:rPr>
          <w:lang w:val="en-US"/>
        </w:rPr>
        <w:t>Many toxic substances inhibit mitochondrial function. Also many compounds in research for pharmaceutical use inherit mitochondrial off-target effects. This assays aims to identify direct inhibition of the MRC complexes I-IV.</w:t>
      </w:r>
    </w:p>
    <w:p w:rsidR="00F270E5" w:rsidRPr="00997DE9" w:rsidRDefault="00F270E5" w:rsidP="0031523F">
      <w:pPr>
        <w:pStyle w:val="1"/>
      </w:pPr>
      <w:r w:rsidRPr="00997DE9">
        <w:t>Limitations</w:t>
      </w:r>
    </w:p>
    <w:p w:rsidR="00F270E5" w:rsidRPr="00997DE9" w:rsidRDefault="00F270E5" w:rsidP="00F270E5">
      <w:pPr>
        <w:rPr>
          <w:lang w:val="en-US"/>
        </w:rPr>
      </w:pPr>
      <w:r w:rsidRPr="00997DE9">
        <w:rPr>
          <w:lang w:val="en-US"/>
        </w:rPr>
        <w:t>Since the analysis of each MRC complex activity is based on the oxygen consumption at cIV, sometimes only indirect conclusions can be drawn. However control experiments can confirm the suggested results. Additionally, adverse effects on cytochrome c or ubiquinone are not assessed.</w:t>
      </w:r>
    </w:p>
    <w:p w:rsidR="00F270E5" w:rsidRPr="00997DE9" w:rsidRDefault="00F270E5" w:rsidP="0031523F">
      <w:pPr>
        <w:pStyle w:val="1"/>
      </w:pPr>
      <w:r w:rsidRPr="00997DE9">
        <w:t>Method outline</w:t>
      </w:r>
    </w:p>
    <w:p w:rsidR="00F270E5" w:rsidRPr="00997DE9" w:rsidRDefault="00F270E5" w:rsidP="00F270E5">
      <w:pPr>
        <w:rPr>
          <w:lang w:val="en-US"/>
        </w:rPr>
      </w:pPr>
      <w:r w:rsidRPr="00997DE9">
        <w:rPr>
          <w:lang w:val="en-US"/>
        </w:rPr>
        <w:t>Cells get selectively, i.e. only their plasma membrane, permeabilized before the experiment starts. Then, their MRC complexes are sequentially fed with specific substrates, i.e. first cI, then cII, then cIII, finally cIV. At the same time, inhibitors for upstream complexes are added with the fuel substance for the next downstream complex to enable the analysis. Finally, complex activity is analyzed simultaneously in treated samples relative to solvent control samples, based on the cIV-mediated oxygen consumption using the Seahorse device.</w:t>
      </w:r>
    </w:p>
    <w:p w:rsidR="0031523F" w:rsidRPr="00997DE9" w:rsidRDefault="0031523F">
      <w:pPr>
        <w:jc w:val="left"/>
        <w:rPr>
          <w:b/>
          <w:color w:val="70AD47" w:themeColor="accent6"/>
          <w:sz w:val="28"/>
          <w:lang w:val="en-US"/>
        </w:rPr>
      </w:pPr>
      <w:r w:rsidRPr="00997DE9">
        <w:rPr>
          <w:lang w:val="en-US"/>
        </w:rPr>
        <w:br w:type="page"/>
      </w:r>
    </w:p>
    <w:p w:rsidR="00F270E5" w:rsidRPr="00997DE9" w:rsidRDefault="00F270E5" w:rsidP="00F270E5">
      <w:pPr>
        <w:pStyle w:val="0"/>
      </w:pPr>
      <w:r w:rsidRPr="00997DE9">
        <w:lastRenderedPageBreak/>
        <w:t>Method description</w:t>
      </w:r>
    </w:p>
    <w:p w:rsidR="0031523F" w:rsidRPr="00997DE9" w:rsidRDefault="0031523F" w:rsidP="0031523F">
      <w:pPr>
        <w:pStyle w:val="1"/>
      </w:pPr>
      <w:r w:rsidRPr="00997DE9">
        <w:t>Chemicals and buffers</w:t>
      </w:r>
    </w:p>
    <w:p w:rsidR="0031523F" w:rsidRPr="00997DE9" w:rsidRDefault="0031523F" w:rsidP="0031523F">
      <w:pPr>
        <w:pStyle w:val="Beschriftung"/>
        <w:keepNext/>
        <w:rPr>
          <w:lang w:val="en-US"/>
        </w:rPr>
      </w:pPr>
      <w:bookmarkStart w:id="0" w:name="_Toc520928815"/>
      <w:bookmarkStart w:id="1" w:name="_Toc521615463"/>
      <w:r w:rsidRPr="00997DE9">
        <w:rPr>
          <w:lang w:val="en-US"/>
        </w:rPr>
        <w:t xml:space="preserve">Table </w:t>
      </w:r>
      <w:r w:rsidRPr="00997DE9">
        <w:rPr>
          <w:lang w:val="en-US"/>
        </w:rPr>
        <w:fldChar w:fldCharType="begin"/>
      </w:r>
      <w:r w:rsidRPr="00997DE9">
        <w:rPr>
          <w:lang w:val="en-US"/>
        </w:rPr>
        <w:instrText xml:space="preserve"> SEQ Table \* ARABIC </w:instrText>
      </w:r>
      <w:r w:rsidRPr="00997DE9">
        <w:rPr>
          <w:lang w:val="en-US"/>
        </w:rPr>
        <w:fldChar w:fldCharType="separate"/>
      </w:r>
      <w:r w:rsidRPr="00997DE9">
        <w:rPr>
          <w:noProof/>
          <w:lang w:val="en-US"/>
        </w:rPr>
        <w:t>1</w:t>
      </w:r>
      <w:r w:rsidRPr="00997DE9">
        <w:rPr>
          <w:lang w:val="en-US"/>
        </w:rPr>
        <w:fldChar w:fldCharType="end"/>
      </w:r>
      <w:r w:rsidRPr="00997DE9">
        <w:rPr>
          <w:lang w:val="en-US"/>
        </w:rPr>
        <w:t>: Chemicals used in experiments</w:t>
      </w:r>
      <w:bookmarkEnd w:id="0"/>
      <w:bookmarkEnd w:id="1"/>
    </w:p>
    <w:tbl>
      <w:tblPr>
        <w:tblStyle w:val="Gitternetztabelle1hellAkzent5"/>
        <w:tblW w:w="0" w:type="auto"/>
        <w:tblLook w:val="04A0" w:firstRow="1" w:lastRow="0" w:firstColumn="1" w:lastColumn="0" w:noHBand="0" w:noVBand="1"/>
      </w:tblPr>
      <w:tblGrid>
        <w:gridCol w:w="1806"/>
        <w:gridCol w:w="1891"/>
        <w:gridCol w:w="1784"/>
        <w:gridCol w:w="1800"/>
        <w:gridCol w:w="1781"/>
      </w:tblGrid>
      <w:tr w:rsidR="0031523F" w:rsidRPr="00997DE9" w:rsidTr="0095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Product</w:t>
            </w:r>
          </w:p>
        </w:tc>
        <w:tc>
          <w:tcPr>
            <w:tcW w:w="1891" w:type="dxa"/>
          </w:tcPr>
          <w:p w:rsidR="0031523F" w:rsidRPr="00997DE9" w:rsidRDefault="0031523F" w:rsidP="0031523F">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Supplier</w:t>
            </w:r>
          </w:p>
        </w:tc>
        <w:tc>
          <w:tcPr>
            <w:tcW w:w="1784" w:type="dxa"/>
          </w:tcPr>
          <w:p w:rsidR="0031523F" w:rsidRPr="00997DE9" w:rsidRDefault="0031523F" w:rsidP="0031523F">
            <w:pPr>
              <w:cnfStyle w:val="100000000000" w:firstRow="1" w:lastRow="0" w:firstColumn="0" w:lastColumn="0" w:oddVBand="0" w:evenVBand="0" w:oddHBand="0" w:evenHBand="0" w:firstRowFirstColumn="0" w:firstRowLastColumn="0" w:lastRowFirstColumn="0" w:lastRowLastColumn="0"/>
              <w:rPr>
                <w:lang w:val="en-US"/>
              </w:rPr>
            </w:pPr>
            <w:r w:rsidRPr="00997DE9">
              <w:rPr>
                <w:rFonts w:eastAsia="Calibri"/>
                <w:lang w:val="en-US"/>
              </w:rPr>
              <w:t xml:space="preserve">Cat. No. </w:t>
            </w:r>
          </w:p>
        </w:tc>
        <w:tc>
          <w:tcPr>
            <w:tcW w:w="1800" w:type="dxa"/>
          </w:tcPr>
          <w:p w:rsidR="0031523F" w:rsidRPr="00997DE9" w:rsidRDefault="0031523F" w:rsidP="0031523F">
            <w:pPr>
              <w:cnfStyle w:val="100000000000" w:firstRow="1" w:lastRow="0" w:firstColumn="0" w:lastColumn="0" w:oddVBand="0" w:evenVBand="0" w:oddHBand="0" w:evenHBand="0" w:firstRowFirstColumn="0" w:firstRowLastColumn="0" w:lastRowFirstColumn="0" w:lastRowLastColumn="0"/>
              <w:rPr>
                <w:lang w:val="en-US"/>
              </w:rPr>
            </w:pPr>
            <w:r w:rsidRPr="00997DE9">
              <w:rPr>
                <w:rFonts w:eastAsia="Calibri"/>
                <w:lang w:val="en-US"/>
              </w:rPr>
              <w:t xml:space="preserve">Lot. No. </w:t>
            </w:r>
          </w:p>
        </w:tc>
        <w:tc>
          <w:tcPr>
            <w:tcW w:w="1781" w:type="dxa"/>
          </w:tcPr>
          <w:p w:rsidR="0031523F" w:rsidRPr="00997DE9" w:rsidRDefault="0031523F" w:rsidP="0031523F">
            <w:pPr>
              <w:cnfStyle w:val="100000000000" w:firstRow="1" w:lastRow="0" w:firstColumn="0" w:lastColumn="0" w:oddVBand="0" w:evenVBand="0" w:oddHBand="0" w:evenHBand="0" w:firstRowFirstColumn="0" w:firstRowLastColumn="0" w:lastRowFirstColumn="0" w:lastRowLastColumn="0"/>
              <w:rPr>
                <w:lang w:val="en-US"/>
              </w:rPr>
            </w:pPr>
            <w:r w:rsidRPr="00997DE9">
              <w:rPr>
                <w:rFonts w:eastAsia="Calibri"/>
                <w:lang w:val="en-US"/>
              </w:rPr>
              <w:t xml:space="preserve">Cas. No.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ADP</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A5285</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72696-48-1</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Digitonin</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D141</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0001432565</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11024-24-1</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D-Mannitol</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M4125</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007K0166</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69-65-8</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DMSO</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Merck</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1.09678</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K48040378 727</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67-68-5</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Duroquinol</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TCI</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T0822</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5QCSN</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527-18-4</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EGTA</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E0396</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SLBP2807V</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67-42-5</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Fatty-Acid free BSA</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Roth</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8076.5</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197254757</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90604-29-8</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HEPES</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Roth</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HN77.4</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468101696</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KH</w:t>
            </w:r>
            <w:r w:rsidRPr="00997DE9">
              <w:rPr>
                <w:vertAlign w:val="subscript"/>
                <w:lang w:val="en-US"/>
              </w:rPr>
              <w:t>2</w:t>
            </w:r>
            <w:r w:rsidRPr="00997DE9">
              <w:rPr>
                <w:lang w:val="en-US"/>
              </w:rPr>
              <w:t>PO</w:t>
            </w:r>
            <w:r w:rsidRPr="00997DE9">
              <w:rPr>
                <w:vertAlign w:val="subscript"/>
                <w:lang w:val="en-US"/>
              </w:rPr>
              <w:t>4</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Ridel-deHaen</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30407</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51530</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7778-77-0</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L-Ascorbic Acid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A-4544</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21H01855</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lang w:val="en-US"/>
              </w:rPr>
              <w:t>50-81-7</w:t>
            </w:r>
            <w:r w:rsidRPr="00997DE9">
              <w:rPr>
                <w:color w:val="000000" w:themeColor="text1"/>
                <w:lang w:val="en-US"/>
              </w:rPr>
              <w:t xml:space="preserve">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L-Glutamine</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G3126</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046K0009</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lang w:val="en-US"/>
              </w:rPr>
              <w:t>56-85-9</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Malic acid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M6413</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BCBJ3883V</w:t>
            </w:r>
          </w:p>
        </w:tc>
        <w:tc>
          <w:tcPr>
            <w:tcW w:w="1781" w:type="dxa"/>
          </w:tcPr>
          <w:p w:rsidR="0031523F" w:rsidRPr="00997DE9" w:rsidRDefault="001316AA"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7" w:history="1">
              <w:r w:rsidR="0031523F" w:rsidRPr="00997DE9">
                <w:rPr>
                  <w:rStyle w:val="Hyperlink"/>
                  <w:rFonts w:cstheme="minorHAnsi"/>
                  <w:bCs/>
                  <w:color w:val="000000" w:themeColor="text1"/>
                  <w:lang w:val="en-US"/>
                </w:rPr>
                <w:t>97-67-6</w:t>
              </w:r>
            </w:hyperlink>
            <w:r w:rsidR="0031523F" w:rsidRPr="00997DE9">
              <w:rPr>
                <w:color w:val="000000" w:themeColor="text1"/>
                <w:lang w:val="en-US"/>
              </w:rPr>
              <w:t xml:space="preserve">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Malonic acid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M1296</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BCBV3859</w:t>
            </w:r>
          </w:p>
        </w:tc>
        <w:tc>
          <w:tcPr>
            <w:tcW w:w="1781" w:type="dxa"/>
          </w:tcPr>
          <w:p w:rsidR="0031523F" w:rsidRPr="00997DE9" w:rsidRDefault="001316AA"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8" w:history="1">
              <w:r w:rsidR="0031523F" w:rsidRPr="00997DE9">
                <w:rPr>
                  <w:rStyle w:val="Hyperlink"/>
                  <w:rFonts w:cstheme="minorHAnsi"/>
                  <w:bCs/>
                  <w:color w:val="000000" w:themeColor="text1"/>
                  <w:lang w:val="en-US"/>
                </w:rPr>
                <w:t>141-82-2</w:t>
              </w:r>
            </w:hyperlink>
            <w:r w:rsidR="0031523F" w:rsidRPr="00997DE9">
              <w:rPr>
                <w:color w:val="000000" w:themeColor="text1"/>
                <w:lang w:val="en-US"/>
              </w:rPr>
              <w:t xml:space="preserve">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MgCl</w:t>
            </w:r>
            <w:r w:rsidRPr="00997DE9">
              <w:rPr>
                <w:vertAlign w:val="subscript"/>
                <w:lang w:val="en-US"/>
              </w:rPr>
              <w:t>2</w:t>
            </w:r>
            <w:r w:rsidRPr="00997DE9">
              <w:rPr>
                <w:lang w:val="en-US"/>
              </w:rPr>
              <w:t>-Hexahydrate</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Roth</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2189.1</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387253790</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7791-18-6</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Potassium Hydroxide</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30603</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SZBE1180V</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1310-58-3</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Pyruvic acid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107360</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MKCC8726</w:t>
            </w:r>
          </w:p>
        </w:tc>
        <w:tc>
          <w:tcPr>
            <w:tcW w:w="1781" w:type="dxa"/>
          </w:tcPr>
          <w:p w:rsidR="0031523F" w:rsidRPr="00997DE9" w:rsidRDefault="001316AA"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9" w:history="1">
              <w:r w:rsidR="0031523F" w:rsidRPr="00997DE9">
                <w:rPr>
                  <w:rStyle w:val="Hyperlink"/>
                  <w:rFonts w:cstheme="minorHAnsi"/>
                  <w:bCs/>
                  <w:color w:val="000000" w:themeColor="text1"/>
                  <w:lang w:val="en-US"/>
                </w:rPr>
                <w:t>127-17-3</w:t>
              </w:r>
            </w:hyperlink>
            <w:r w:rsidR="0031523F" w:rsidRPr="00997DE9">
              <w:rPr>
                <w:color w:val="000000" w:themeColor="text1"/>
                <w:lang w:val="en-US"/>
              </w:rPr>
              <w:t xml:space="preserve">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Succinic acid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S9512</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057K01281</w:t>
            </w:r>
          </w:p>
        </w:tc>
        <w:tc>
          <w:tcPr>
            <w:tcW w:w="1781" w:type="dxa"/>
          </w:tcPr>
          <w:p w:rsidR="0031523F" w:rsidRPr="00997DE9" w:rsidRDefault="001316AA"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10" w:history="1">
              <w:r w:rsidR="0031523F" w:rsidRPr="00997DE9">
                <w:rPr>
                  <w:rStyle w:val="Hyperlink"/>
                  <w:rFonts w:cstheme="minorHAnsi"/>
                  <w:bCs/>
                  <w:color w:val="000000" w:themeColor="text1"/>
                  <w:lang w:val="en-US"/>
                </w:rPr>
                <w:t>110-15-6</w:t>
              </w:r>
            </w:hyperlink>
            <w:r w:rsidR="0031523F" w:rsidRPr="00997DE9">
              <w:rPr>
                <w:color w:val="000000" w:themeColor="text1"/>
                <w:lang w:val="en-US"/>
              </w:rPr>
              <w:t xml:space="preserve"> </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Sucrose</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Merck</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color w:val="444444"/>
                <w:lang w:val="en-US"/>
              </w:rPr>
              <w:t>1076511000</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K47396351613</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997DE9">
              <w:rPr>
                <w:color w:val="000000" w:themeColor="text1"/>
                <w:lang w:val="en-US"/>
              </w:rPr>
              <w:t>57-50-1</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TMPD</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Sigma</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T7394</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STBC1186V</w:t>
            </w:r>
          </w:p>
        </w:tc>
        <w:tc>
          <w:tcPr>
            <w:tcW w:w="1781" w:type="dxa"/>
          </w:tcPr>
          <w:p w:rsidR="0031523F" w:rsidRPr="00997DE9" w:rsidRDefault="001316AA" w:rsidP="0031523F">
            <w:pPr>
              <w:cnfStyle w:val="000000000000" w:firstRow="0" w:lastRow="0" w:firstColumn="0" w:lastColumn="0" w:oddVBand="0" w:evenVBand="0" w:oddHBand="0" w:evenHBand="0" w:firstRowFirstColumn="0" w:firstRowLastColumn="0" w:lastRowFirstColumn="0" w:lastRowLastColumn="0"/>
              <w:rPr>
                <w:color w:val="000000" w:themeColor="text1"/>
                <w:lang w:val="en-US"/>
              </w:rPr>
            </w:pPr>
            <w:hyperlink r:id="rId11" w:history="1">
              <w:r w:rsidR="0031523F" w:rsidRPr="00997DE9">
                <w:rPr>
                  <w:rStyle w:val="Hyperlink"/>
                  <w:rFonts w:cstheme="minorHAnsi"/>
                  <w:bCs/>
                  <w:color w:val="000000" w:themeColor="text1"/>
                  <w:szCs w:val="24"/>
                  <w:lang w:val="en-US"/>
                </w:rPr>
                <w:t>100-22-1</w:t>
              </w:r>
            </w:hyperlink>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1806" w:type="dxa"/>
          </w:tcPr>
          <w:p w:rsidR="0031523F" w:rsidRPr="00997DE9" w:rsidRDefault="0031523F" w:rsidP="0031523F">
            <w:pPr>
              <w:rPr>
                <w:lang w:val="en-US"/>
              </w:rPr>
            </w:pPr>
            <w:r w:rsidRPr="00997DE9">
              <w:rPr>
                <w:lang w:val="en-US"/>
              </w:rPr>
              <w:t>XF calibrant solution</w:t>
            </w:r>
          </w:p>
        </w:tc>
        <w:tc>
          <w:tcPr>
            <w:tcW w:w="189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Agilent/Seahorse</w:t>
            </w:r>
          </w:p>
        </w:tc>
        <w:tc>
          <w:tcPr>
            <w:tcW w:w="1784"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100840-000</w:t>
            </w:r>
          </w:p>
        </w:tc>
        <w:tc>
          <w:tcPr>
            <w:tcW w:w="1800"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090</w:t>
            </w:r>
          </w:p>
        </w:tc>
        <w:tc>
          <w:tcPr>
            <w:tcW w:w="1781" w:type="dxa"/>
          </w:tcPr>
          <w:p w:rsidR="0031523F" w:rsidRPr="00997DE9" w:rsidRDefault="0031523F" w:rsidP="0031523F">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w:t>
            </w:r>
          </w:p>
        </w:tc>
      </w:tr>
    </w:tbl>
    <w:p w:rsidR="0031523F" w:rsidRPr="00997DE9" w:rsidRDefault="0031523F" w:rsidP="0031523F">
      <w:pPr>
        <w:rPr>
          <w:lang w:val="en-US"/>
        </w:rPr>
      </w:pPr>
    </w:p>
    <w:p w:rsidR="0031523F" w:rsidRPr="00997DE9" w:rsidRDefault="0031523F" w:rsidP="0031523F">
      <w:pPr>
        <w:pStyle w:val="Beschriftung"/>
        <w:keepNext/>
        <w:rPr>
          <w:lang w:val="en-US"/>
        </w:rPr>
      </w:pPr>
      <w:bookmarkStart w:id="2" w:name="_Ref520570839"/>
      <w:bookmarkStart w:id="3" w:name="_Ref520570833"/>
      <w:bookmarkStart w:id="4" w:name="_Toc520928818"/>
      <w:bookmarkStart w:id="5" w:name="_Toc521615466"/>
      <w:r w:rsidRPr="00997DE9">
        <w:rPr>
          <w:lang w:val="en-US"/>
        </w:rPr>
        <w:t xml:space="preserve">Table </w:t>
      </w:r>
      <w:r w:rsidRPr="00997DE9">
        <w:rPr>
          <w:lang w:val="en-US"/>
        </w:rPr>
        <w:fldChar w:fldCharType="begin"/>
      </w:r>
      <w:r w:rsidRPr="00997DE9">
        <w:rPr>
          <w:lang w:val="en-US"/>
        </w:rPr>
        <w:instrText xml:space="preserve"> SEQ Table \* ARABIC </w:instrText>
      </w:r>
      <w:r w:rsidRPr="00997DE9">
        <w:rPr>
          <w:lang w:val="en-US"/>
        </w:rPr>
        <w:fldChar w:fldCharType="separate"/>
      </w:r>
      <w:r w:rsidRPr="00997DE9">
        <w:rPr>
          <w:noProof/>
          <w:lang w:val="en-US"/>
        </w:rPr>
        <w:t>2</w:t>
      </w:r>
      <w:r w:rsidRPr="00997DE9">
        <w:rPr>
          <w:lang w:val="en-US"/>
        </w:rPr>
        <w:fldChar w:fldCharType="end"/>
      </w:r>
      <w:bookmarkEnd w:id="2"/>
      <w:r w:rsidRPr="00997DE9">
        <w:rPr>
          <w:lang w:val="en-US"/>
        </w:rPr>
        <w:t>: reagent preparation</w:t>
      </w:r>
      <w:bookmarkEnd w:id="3"/>
      <w:bookmarkEnd w:id="4"/>
      <w:bookmarkEnd w:id="5"/>
    </w:p>
    <w:tbl>
      <w:tblPr>
        <w:tblStyle w:val="Gitternetztabelle1hellAkzent1"/>
        <w:tblW w:w="5000" w:type="pct"/>
        <w:tblLook w:val="04A0" w:firstRow="1" w:lastRow="0" w:firstColumn="1" w:lastColumn="0" w:noHBand="0" w:noVBand="1"/>
      </w:tblPr>
      <w:tblGrid>
        <w:gridCol w:w="1792"/>
        <w:gridCol w:w="1898"/>
        <w:gridCol w:w="1992"/>
        <w:gridCol w:w="1827"/>
        <w:gridCol w:w="1553"/>
      </w:tblGrid>
      <w:tr w:rsidR="0031523F" w:rsidRPr="00997DE9" w:rsidTr="00907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Reagent</w:t>
            </w:r>
          </w:p>
        </w:tc>
        <w:tc>
          <w:tcPr>
            <w:tcW w:w="1047" w:type="pct"/>
          </w:tcPr>
          <w:p w:rsidR="0031523F" w:rsidRPr="00997DE9" w:rsidRDefault="0031523F" w:rsidP="00950086">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 xml:space="preserve">Stock </w:t>
            </w:r>
          </w:p>
        </w:tc>
        <w:tc>
          <w:tcPr>
            <w:tcW w:w="1099" w:type="pct"/>
          </w:tcPr>
          <w:p w:rsidR="0031523F" w:rsidRPr="00997DE9" w:rsidRDefault="0031523F" w:rsidP="00950086">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Final (on cells)</w:t>
            </w:r>
          </w:p>
        </w:tc>
        <w:tc>
          <w:tcPr>
            <w:tcW w:w="1008" w:type="pct"/>
          </w:tcPr>
          <w:p w:rsidR="0031523F" w:rsidRPr="00997DE9" w:rsidRDefault="0031523F" w:rsidP="00950086">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10 x port solution</w:t>
            </w:r>
          </w:p>
        </w:tc>
        <w:tc>
          <w:tcPr>
            <w:tcW w:w="857" w:type="pct"/>
          </w:tcPr>
          <w:p w:rsidR="0031523F" w:rsidRPr="00997DE9" w:rsidRDefault="0031523F" w:rsidP="00950086">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Solvent</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ADP</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07582"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Ascorbate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200 mM</w:t>
            </w:r>
          </w:p>
        </w:tc>
        <w:tc>
          <w:tcPr>
            <w:tcW w:w="1099" w:type="pct"/>
          </w:tcPr>
          <w:p w:rsidR="0031523F" w:rsidRPr="00997DE9" w:rsidRDefault="00907582" w:rsidP="00950086">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r w:rsidR="0031523F" w:rsidRPr="00997DE9">
              <w:rPr>
                <w:lang w:val="en-US"/>
              </w:rPr>
              <w:t xml:space="preserve">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07582"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Digitonin</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mg/ml</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µg/µl</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250 µg/ml</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07582"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Duroquinol</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0.250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DMSO</w:t>
            </w:r>
          </w:p>
        </w:tc>
      </w:tr>
      <w:tr w:rsidR="0031523F" w:rsidRPr="00907582"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Glutamate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Glutamine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20 mM</w:t>
            </w:r>
          </w:p>
        </w:tc>
        <w:tc>
          <w:tcPr>
            <w:tcW w:w="857" w:type="pct"/>
          </w:tcPr>
          <w:p w:rsidR="0031523F" w:rsidRPr="00997DE9" w:rsidRDefault="00907582" w:rsidP="00950086">
            <w:pPr>
              <w:cnfStyle w:val="000000000000" w:firstRow="0" w:lastRow="0" w:firstColumn="0" w:lastColumn="0" w:oddVBand="0" w:evenVBand="0" w:oddHBand="0" w:evenHBand="0" w:firstRowFirstColumn="0" w:firstRowLastColumn="0" w:lastRowFirstColumn="0" w:lastRowLastColumn="0"/>
              <w:rPr>
                <w:lang w:val="en-US"/>
              </w:rPr>
            </w:pPr>
            <w:r>
              <w:rPr>
                <w:lang w:val="en-US"/>
              </w:rPr>
              <w:t>Cell culture in H2O</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Hydroquinone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Water</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Idebenone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0.25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DMSO</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Malate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Malonate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lastRenderedPageBreak/>
              <w:t>Pyruvate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Succinate</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250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100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MAS</w:t>
            </w:r>
          </w:p>
        </w:tc>
      </w:tr>
      <w:tr w:rsidR="0031523F" w:rsidRPr="00997DE9" w:rsidTr="00907582">
        <w:tc>
          <w:tcPr>
            <w:cnfStyle w:val="001000000000" w:firstRow="0" w:lastRow="0" w:firstColumn="1" w:lastColumn="0" w:oddVBand="0" w:evenVBand="0" w:oddHBand="0" w:evenHBand="0" w:firstRowFirstColumn="0" w:firstRowLastColumn="0" w:lastRowFirstColumn="0" w:lastRowLastColumn="0"/>
            <w:tcW w:w="989" w:type="pct"/>
          </w:tcPr>
          <w:p w:rsidR="0031523F" w:rsidRPr="00997DE9" w:rsidRDefault="0031523F" w:rsidP="00950086">
            <w:pPr>
              <w:rPr>
                <w:lang w:val="en-US"/>
              </w:rPr>
            </w:pPr>
            <w:r w:rsidRPr="00997DE9">
              <w:rPr>
                <w:lang w:val="en-US"/>
              </w:rPr>
              <w:t>TMPD</w:t>
            </w:r>
          </w:p>
        </w:tc>
        <w:tc>
          <w:tcPr>
            <w:tcW w:w="104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500 mM</w:t>
            </w:r>
          </w:p>
        </w:tc>
        <w:tc>
          <w:tcPr>
            <w:tcW w:w="1099"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0.125 mM</w:t>
            </w:r>
          </w:p>
        </w:tc>
        <w:tc>
          <w:tcPr>
            <w:tcW w:w="1008"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1.25 mM</w:t>
            </w:r>
          </w:p>
        </w:tc>
        <w:tc>
          <w:tcPr>
            <w:tcW w:w="857" w:type="pct"/>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Ethanol</w:t>
            </w:r>
          </w:p>
        </w:tc>
      </w:tr>
    </w:tbl>
    <w:p w:rsidR="0031523F" w:rsidRPr="00997DE9" w:rsidRDefault="009969FC" w:rsidP="0031523F">
      <w:pPr>
        <w:rPr>
          <w:lang w:val="en-US"/>
        </w:rPr>
      </w:pPr>
      <w:r>
        <w:rPr>
          <w:lang w:val="en-US"/>
        </w:rPr>
        <w:t xml:space="preserve">Rotenone &amp; antimycin used </w:t>
      </w:r>
      <w:bookmarkStart w:id="6" w:name="_GoBack"/>
      <w:bookmarkEnd w:id="6"/>
      <w:r>
        <w:rPr>
          <w:lang w:val="en-US"/>
        </w:rPr>
        <w:t>a as in mitostress test (0.5 µM each)</w:t>
      </w:r>
    </w:p>
    <w:p w:rsidR="0031523F" w:rsidRPr="00997DE9" w:rsidRDefault="0031523F" w:rsidP="0031523F">
      <w:pPr>
        <w:pStyle w:val="Beschriftung"/>
        <w:keepNext/>
        <w:rPr>
          <w:lang w:val="en-US"/>
        </w:rPr>
      </w:pPr>
      <w:bookmarkStart w:id="7" w:name="_Ref520575311"/>
      <w:bookmarkStart w:id="8" w:name="_Toc520928817"/>
      <w:bookmarkStart w:id="9" w:name="_Toc521615465"/>
      <w:r w:rsidRPr="00997DE9">
        <w:rPr>
          <w:lang w:val="en-US"/>
        </w:rPr>
        <w:t xml:space="preserve">Table </w:t>
      </w:r>
      <w:r w:rsidRPr="00997DE9">
        <w:rPr>
          <w:lang w:val="en-US"/>
        </w:rPr>
        <w:fldChar w:fldCharType="begin"/>
      </w:r>
      <w:r w:rsidRPr="00997DE9">
        <w:rPr>
          <w:lang w:val="en-US"/>
        </w:rPr>
        <w:instrText xml:space="preserve"> SEQ Table \* ARABIC </w:instrText>
      </w:r>
      <w:r w:rsidRPr="00997DE9">
        <w:rPr>
          <w:lang w:val="en-US"/>
        </w:rPr>
        <w:fldChar w:fldCharType="separate"/>
      </w:r>
      <w:r w:rsidRPr="00997DE9">
        <w:rPr>
          <w:noProof/>
          <w:lang w:val="en-US"/>
        </w:rPr>
        <w:t>3</w:t>
      </w:r>
      <w:r w:rsidRPr="00997DE9">
        <w:rPr>
          <w:lang w:val="en-US"/>
        </w:rPr>
        <w:fldChar w:fldCharType="end"/>
      </w:r>
      <w:bookmarkEnd w:id="7"/>
      <w:r w:rsidRPr="00997DE9">
        <w:rPr>
          <w:lang w:val="en-US"/>
        </w:rPr>
        <w:t>: Formulation of 1x MAS buffer</w:t>
      </w:r>
      <w:bookmarkEnd w:id="8"/>
      <w:bookmarkEnd w:id="9"/>
    </w:p>
    <w:tbl>
      <w:tblPr>
        <w:tblStyle w:val="Gitternetztabelle1hellAkzent1"/>
        <w:tblW w:w="0" w:type="auto"/>
        <w:tblLook w:val="04A0" w:firstRow="1" w:lastRow="0" w:firstColumn="1" w:lastColumn="0" w:noHBand="0" w:noVBand="1"/>
      </w:tblPr>
      <w:tblGrid>
        <w:gridCol w:w="3020"/>
        <w:gridCol w:w="3021"/>
        <w:gridCol w:w="3021"/>
      </w:tblGrid>
      <w:tr w:rsidR="0031523F" w:rsidRPr="009969FC" w:rsidTr="0095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Reagent</w:t>
            </w:r>
          </w:p>
        </w:tc>
        <w:tc>
          <w:tcPr>
            <w:tcW w:w="3021" w:type="dxa"/>
          </w:tcPr>
          <w:p w:rsidR="0031523F" w:rsidRPr="00997DE9" w:rsidRDefault="0031523F" w:rsidP="00950086">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1x MAS</w:t>
            </w:r>
          </w:p>
        </w:tc>
        <w:tc>
          <w:tcPr>
            <w:tcW w:w="3021" w:type="dxa"/>
          </w:tcPr>
          <w:p w:rsidR="0031523F" w:rsidRPr="00997DE9" w:rsidRDefault="0031523F" w:rsidP="0031523F">
            <w:pPr>
              <w:cnfStyle w:val="100000000000" w:firstRow="1" w:lastRow="0" w:firstColumn="0" w:lastColumn="0" w:oddVBand="0" w:evenVBand="0" w:oddHBand="0" w:evenHBand="0" w:firstRowFirstColumn="0" w:firstRowLastColumn="0" w:lastRowFirstColumn="0" w:lastRowLastColumn="0"/>
              <w:rPr>
                <w:lang w:val="en-US"/>
              </w:rPr>
            </w:pPr>
            <w:r w:rsidRPr="00997DE9">
              <w:rPr>
                <w:lang w:val="en-US"/>
              </w:rPr>
              <w:t>Amount for 1.0 liter of 1x MAS</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Sucrose</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70 mM</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23.96 g</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 xml:space="preserve">Mannitol </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220 mM</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40.08 g</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KH</w:t>
            </w:r>
            <w:r w:rsidRPr="00997DE9">
              <w:rPr>
                <w:vertAlign w:val="subscript"/>
                <w:lang w:val="en-US"/>
              </w:rPr>
              <w:t>2</w:t>
            </w:r>
            <w:r w:rsidRPr="00997DE9">
              <w:rPr>
                <w:lang w:val="en-US"/>
              </w:rPr>
              <w:t>PO</w:t>
            </w:r>
            <w:r w:rsidRPr="00997DE9">
              <w:rPr>
                <w:vertAlign w:val="subscript"/>
                <w:lang w:val="en-US"/>
              </w:rPr>
              <w:t>4</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 mM</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1.36 g</w:t>
            </w:r>
          </w:p>
        </w:tc>
      </w:tr>
      <w:tr w:rsidR="0031523F" w:rsidRPr="009969FC"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F13CDA" w:rsidRDefault="0031523F" w:rsidP="00950086">
            <w:pPr>
              <w:rPr>
                <w:lang w:val="en-US"/>
              </w:rPr>
            </w:pPr>
            <w:r w:rsidRPr="00997DE9">
              <w:rPr>
                <w:lang w:val="en-US"/>
              </w:rPr>
              <w:t>MgCl</w:t>
            </w:r>
            <w:r w:rsidRPr="00997DE9">
              <w:rPr>
                <w:vertAlign w:val="subscript"/>
                <w:lang w:val="en-US"/>
              </w:rPr>
              <w:t>2</w:t>
            </w:r>
            <w:r w:rsidR="00F13CDA">
              <w:rPr>
                <w:vertAlign w:val="superscript"/>
                <w:lang w:val="en-US"/>
              </w:rPr>
              <w:t xml:space="preserve"> </w:t>
            </w:r>
            <w:r w:rsidR="00F13CDA">
              <w:rPr>
                <w:lang w:val="en-US"/>
              </w:rPr>
              <w:t>hexahydrate</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5 mM</w:t>
            </w:r>
          </w:p>
        </w:tc>
        <w:tc>
          <w:tcPr>
            <w:tcW w:w="3021" w:type="dxa"/>
          </w:tcPr>
          <w:p w:rsidR="0031523F" w:rsidRPr="00997DE9" w:rsidRDefault="0031523F" w:rsidP="00907582">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1.02 g</w:t>
            </w:r>
            <w:r w:rsidR="00F13CDA">
              <w:rPr>
                <w:lang w:val="en-US"/>
              </w:rPr>
              <w:t xml:space="preserve"> (for hexahydrate; for pure MgCl2: 0.48 g)</w:t>
            </w:r>
            <w:r w:rsidR="00AD36E8">
              <w:rPr>
                <w:lang w:val="en-US"/>
              </w:rPr>
              <w:t>]</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HEPES</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2 mM</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0.48 g</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EGTA</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1 mM</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0.38 g</w:t>
            </w:r>
          </w:p>
        </w:tc>
      </w:tr>
      <w:tr w:rsidR="0031523F" w:rsidRPr="00997DE9" w:rsidTr="00950086">
        <w:tc>
          <w:tcPr>
            <w:cnfStyle w:val="001000000000" w:firstRow="0" w:lastRow="0" w:firstColumn="1" w:lastColumn="0" w:oddVBand="0" w:evenVBand="0" w:oddHBand="0" w:evenHBand="0" w:firstRowFirstColumn="0" w:firstRowLastColumn="0" w:lastRowFirstColumn="0" w:lastRowLastColumn="0"/>
            <w:tcW w:w="3020" w:type="dxa"/>
          </w:tcPr>
          <w:p w:rsidR="0031523F" w:rsidRPr="00997DE9" w:rsidRDefault="0031523F" w:rsidP="00950086">
            <w:pPr>
              <w:rPr>
                <w:lang w:val="en-US"/>
              </w:rPr>
            </w:pPr>
            <w:r w:rsidRPr="00997DE9">
              <w:rPr>
                <w:lang w:val="en-US"/>
              </w:rPr>
              <w:t>Fatty acid free BSA</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4 mg/ml</w:t>
            </w:r>
          </w:p>
        </w:tc>
        <w:tc>
          <w:tcPr>
            <w:tcW w:w="3021" w:type="dxa"/>
          </w:tcPr>
          <w:p w:rsidR="0031523F" w:rsidRPr="00997DE9" w:rsidRDefault="0031523F" w:rsidP="00950086">
            <w:pPr>
              <w:cnfStyle w:val="000000000000" w:firstRow="0" w:lastRow="0" w:firstColumn="0" w:lastColumn="0" w:oddVBand="0" w:evenVBand="0" w:oddHBand="0" w:evenHBand="0" w:firstRowFirstColumn="0" w:firstRowLastColumn="0" w:lastRowFirstColumn="0" w:lastRowLastColumn="0"/>
              <w:rPr>
                <w:lang w:val="en-US"/>
              </w:rPr>
            </w:pPr>
            <w:r w:rsidRPr="00997DE9">
              <w:rPr>
                <w:lang w:val="en-US"/>
              </w:rPr>
              <w:t>4 g</w:t>
            </w:r>
          </w:p>
        </w:tc>
      </w:tr>
    </w:tbl>
    <w:p w:rsidR="0031523F" w:rsidRPr="00997DE9" w:rsidRDefault="0031523F" w:rsidP="0031523F">
      <w:pPr>
        <w:rPr>
          <w:lang w:val="en-US"/>
        </w:rPr>
      </w:pPr>
      <w:r w:rsidRPr="00997DE9">
        <w:rPr>
          <w:lang w:val="en-US"/>
        </w:rPr>
        <w:t>Reagents were dissolved in MiliQ-water and pH was adjusted to 7.2 by using KOH. After 0.22 µm filter sterilization, MAS buffer was stored at 4°C.</w:t>
      </w:r>
    </w:p>
    <w:p w:rsidR="005616F8" w:rsidRPr="00997DE9" w:rsidRDefault="005616F8" w:rsidP="0031523F">
      <w:pPr>
        <w:pStyle w:val="1"/>
      </w:pPr>
      <w:r w:rsidRPr="00997DE9">
        <w:t>Preparation upfront</w:t>
      </w:r>
    </w:p>
    <w:p w:rsidR="005616F8" w:rsidRPr="00997DE9" w:rsidRDefault="005616F8" w:rsidP="005616F8">
      <w:pPr>
        <w:pStyle w:val="Listenabsatz"/>
        <w:numPr>
          <w:ilvl w:val="0"/>
          <w:numId w:val="3"/>
        </w:numPr>
        <w:rPr>
          <w:lang w:val="en-US"/>
        </w:rPr>
      </w:pPr>
      <w:r w:rsidRPr="00997DE9">
        <w:rPr>
          <w:lang w:val="en-US"/>
        </w:rPr>
        <w:t xml:space="preserve">Hydrate </w:t>
      </w:r>
      <w:r w:rsidR="00F270E5" w:rsidRPr="00997DE9">
        <w:rPr>
          <w:lang w:val="en-US"/>
        </w:rPr>
        <w:t xml:space="preserve">seahorse </w:t>
      </w:r>
      <w:r w:rsidRPr="00997DE9">
        <w:rPr>
          <w:lang w:val="en-US"/>
        </w:rPr>
        <w:t>cartridge</w:t>
      </w:r>
    </w:p>
    <w:p w:rsidR="005616F8" w:rsidRPr="00997DE9" w:rsidRDefault="005616F8" w:rsidP="005616F8">
      <w:pPr>
        <w:pStyle w:val="Listenabsatz"/>
        <w:numPr>
          <w:ilvl w:val="0"/>
          <w:numId w:val="3"/>
        </w:numPr>
        <w:rPr>
          <w:lang w:val="en-US"/>
        </w:rPr>
      </w:pPr>
      <w:r w:rsidRPr="00997DE9">
        <w:rPr>
          <w:lang w:val="en-US"/>
        </w:rPr>
        <w:t xml:space="preserve">Have cells </w:t>
      </w:r>
      <w:r w:rsidR="0031523F" w:rsidRPr="00997DE9">
        <w:rPr>
          <w:lang w:val="en-US"/>
        </w:rPr>
        <w:t>at 95% confluency in coated (normal PLO/fibronectin LUHMES coating, optionally with additional laminin) Seahorse plates ready, cultured at least 18 h in these plates for equilibration</w:t>
      </w:r>
    </w:p>
    <w:p w:rsidR="00A65A38" w:rsidRPr="00997DE9" w:rsidRDefault="00A65A38" w:rsidP="005616F8">
      <w:pPr>
        <w:pStyle w:val="Listenabsatz"/>
        <w:numPr>
          <w:ilvl w:val="0"/>
          <w:numId w:val="3"/>
        </w:numPr>
        <w:rPr>
          <w:lang w:val="en-US"/>
        </w:rPr>
      </w:pPr>
      <w:r w:rsidRPr="00997DE9">
        <w:rPr>
          <w:lang w:val="en-US"/>
        </w:rPr>
        <w:t>1x MAS buffer</w:t>
      </w:r>
    </w:p>
    <w:p w:rsidR="00F270E5" w:rsidRPr="00997DE9" w:rsidRDefault="00A65A38" w:rsidP="00F270E5">
      <w:pPr>
        <w:pStyle w:val="Listenabsatz"/>
        <w:numPr>
          <w:ilvl w:val="0"/>
          <w:numId w:val="3"/>
        </w:numPr>
        <w:rPr>
          <w:lang w:val="en-US"/>
        </w:rPr>
      </w:pPr>
      <w:r w:rsidRPr="00997DE9">
        <w:rPr>
          <w:lang w:val="en-US"/>
        </w:rPr>
        <w:t>Substrates and tool compounds</w:t>
      </w:r>
    </w:p>
    <w:p w:rsidR="000404B3" w:rsidRPr="00997DE9" w:rsidRDefault="005616F8" w:rsidP="0031523F">
      <w:pPr>
        <w:pStyle w:val="1"/>
      </w:pPr>
      <w:r w:rsidRPr="00997DE9">
        <w:t>Experimental p</w:t>
      </w:r>
      <w:r w:rsidR="003F26DB" w:rsidRPr="00997DE9">
        <w:t>rocedure</w:t>
      </w:r>
    </w:p>
    <w:p w:rsidR="003D15D7" w:rsidRPr="00997DE9" w:rsidRDefault="003D15D7" w:rsidP="00013F3D">
      <w:pPr>
        <w:pStyle w:val="standard2"/>
        <w:spacing w:line="276" w:lineRule="auto"/>
      </w:pPr>
      <w:r w:rsidRPr="00997DE9">
        <w:t xml:space="preserve">Cells </w:t>
      </w:r>
      <w:r w:rsidR="0031523F" w:rsidRPr="00997DE9">
        <w:t>were</w:t>
      </w:r>
      <w:r w:rsidRPr="00997DE9">
        <w:t xml:space="preserve"> grown in T175 cell culture flasks until they reach</w:t>
      </w:r>
      <w:r w:rsidR="0031523F" w:rsidRPr="00997DE9">
        <w:t>ed</w:t>
      </w:r>
      <w:r w:rsidRPr="00997DE9">
        <w:t xml:space="preserve"> a confluency of 95%</w:t>
      </w:r>
    </w:p>
    <w:p w:rsidR="0031523F" w:rsidRPr="00997DE9" w:rsidRDefault="00ED4FD7" w:rsidP="00013F3D">
      <w:pPr>
        <w:pStyle w:val="standard2"/>
        <w:spacing w:line="276" w:lineRule="auto"/>
      </w:pPr>
      <w:r w:rsidRPr="00997DE9">
        <w:t>For assay</w:t>
      </w:r>
      <w:r w:rsidR="00B12060" w:rsidRPr="00997DE9">
        <w:t>s,</w:t>
      </w:r>
      <w:r w:rsidRPr="00997DE9">
        <w:t xml:space="preserve"> conducted one day after cell seeding in Seahorse cell culture plates, proliferating cells were seeded at a d</w:t>
      </w:r>
      <w:r w:rsidR="0031523F" w:rsidRPr="00997DE9">
        <w:t>ensity of 60.000 cpw in 100 µl proliferation medium (PM)</w:t>
      </w:r>
      <w:r w:rsidRPr="00997DE9">
        <w:t xml:space="preserve">. For assays, conducted two days after cell seeding in Seahorse cell culture plates, proliferating cells were seeded </w:t>
      </w:r>
      <w:r w:rsidR="00253B4F" w:rsidRPr="00997DE9">
        <w:t>at a density of 4</w:t>
      </w:r>
      <w:r w:rsidRPr="00997DE9">
        <w:t xml:space="preserve">0.000 cpw in 100 µl PM. </w:t>
      </w:r>
    </w:p>
    <w:p w:rsidR="00ED4FD7" w:rsidRPr="00997DE9" w:rsidRDefault="00ED4FD7" w:rsidP="00013F3D">
      <w:pPr>
        <w:pStyle w:val="standard2"/>
        <w:spacing w:line="276" w:lineRule="auto"/>
      </w:pPr>
      <w:r w:rsidRPr="00997DE9">
        <w:t xml:space="preserve">After one hour of </w:t>
      </w:r>
      <w:r w:rsidR="00484E26" w:rsidRPr="00997DE9">
        <w:t>attachment</w:t>
      </w:r>
      <w:r w:rsidR="0031523F" w:rsidRPr="00997DE9">
        <w:t>,</w:t>
      </w:r>
      <w:r w:rsidRPr="00997DE9">
        <w:t xml:space="preserve"> 150 µl of PM </w:t>
      </w:r>
      <w:r w:rsidR="0031523F" w:rsidRPr="00997DE9">
        <w:t>was</w:t>
      </w:r>
      <w:r w:rsidRPr="00997DE9">
        <w:t xml:space="preserve"> added</w:t>
      </w:r>
      <w:r w:rsidR="005616F8" w:rsidRPr="00997DE9">
        <w:t xml:space="preserve"> to proliferating cells</w:t>
      </w:r>
      <w:r w:rsidRPr="00997DE9">
        <w:t>.</w:t>
      </w:r>
    </w:p>
    <w:p w:rsidR="00ED4FD7" w:rsidRPr="00997DE9" w:rsidRDefault="00ED4FD7" w:rsidP="00013F3D">
      <w:pPr>
        <w:pStyle w:val="standard2"/>
        <w:spacing w:line="276" w:lineRule="auto"/>
      </w:pPr>
      <w:r w:rsidRPr="00997DE9">
        <w:rPr>
          <w:rFonts w:cstheme="minorHAnsi"/>
          <w:szCs w:val="24"/>
        </w:rPr>
        <w:t xml:space="preserve">The </w:t>
      </w:r>
      <w:r w:rsidR="0031523F" w:rsidRPr="00997DE9">
        <w:rPr>
          <w:rFonts w:cstheme="minorHAnsi"/>
          <w:szCs w:val="24"/>
        </w:rPr>
        <w:t xml:space="preserve">Seahorse </w:t>
      </w:r>
      <w:r w:rsidRPr="00997DE9">
        <w:rPr>
          <w:rFonts w:cstheme="minorHAnsi"/>
          <w:szCs w:val="24"/>
        </w:rPr>
        <w:t xml:space="preserve">cell culture plates </w:t>
      </w:r>
      <w:r w:rsidR="0031523F" w:rsidRPr="00997DE9">
        <w:rPr>
          <w:rFonts w:cstheme="minorHAnsi"/>
          <w:szCs w:val="24"/>
        </w:rPr>
        <w:t>were</w:t>
      </w:r>
      <w:r w:rsidRPr="00997DE9">
        <w:rPr>
          <w:rFonts w:cstheme="minorHAnsi"/>
          <w:szCs w:val="24"/>
        </w:rPr>
        <w:t xml:space="preserve"> incub</w:t>
      </w:r>
      <w:r w:rsidR="0031523F" w:rsidRPr="00997DE9">
        <w:rPr>
          <w:rFonts w:cstheme="minorHAnsi"/>
          <w:szCs w:val="24"/>
        </w:rPr>
        <w:t>ated at 37°C in a humidified 5</w:t>
      </w:r>
      <w:r w:rsidRPr="00997DE9">
        <w:rPr>
          <w:rFonts w:cstheme="minorHAnsi"/>
          <w:szCs w:val="24"/>
        </w:rPr>
        <w:t>%-CO</w:t>
      </w:r>
      <w:r w:rsidRPr="00997DE9">
        <w:rPr>
          <w:rFonts w:cstheme="minorHAnsi"/>
          <w:szCs w:val="24"/>
          <w:vertAlign w:val="subscript"/>
        </w:rPr>
        <w:t>2</w:t>
      </w:r>
      <w:r w:rsidRPr="00997DE9">
        <w:rPr>
          <w:rFonts w:cstheme="minorHAnsi"/>
          <w:szCs w:val="24"/>
        </w:rPr>
        <w:t xml:space="preserve"> incubator</w:t>
      </w:r>
      <w:r w:rsidR="00253B4F" w:rsidRPr="00997DE9">
        <w:rPr>
          <w:rFonts w:cstheme="minorHAnsi"/>
          <w:szCs w:val="24"/>
        </w:rPr>
        <w:t xml:space="preserve"> until the day of assay</w:t>
      </w:r>
      <w:r w:rsidR="00E5020C" w:rsidRPr="00997DE9">
        <w:rPr>
          <w:rFonts w:cstheme="minorHAnsi"/>
          <w:szCs w:val="24"/>
        </w:rPr>
        <w:t>.</w:t>
      </w:r>
    </w:p>
    <w:p w:rsidR="009945A1" w:rsidRPr="00997DE9" w:rsidRDefault="009945A1" w:rsidP="00013F3D">
      <w:pPr>
        <w:pStyle w:val="standard2"/>
        <w:spacing w:line="276" w:lineRule="auto"/>
      </w:pPr>
      <w:r w:rsidRPr="00997DE9">
        <w:rPr>
          <w:rFonts w:cstheme="minorHAnsi"/>
          <w:szCs w:val="24"/>
        </w:rPr>
        <w:t>At the day of assay</w:t>
      </w:r>
      <w:r w:rsidR="0031523F" w:rsidRPr="00997DE9">
        <w:rPr>
          <w:rFonts w:cstheme="minorHAnsi"/>
          <w:szCs w:val="24"/>
        </w:rPr>
        <w:t>,</w:t>
      </w:r>
      <w:r w:rsidRPr="00997DE9">
        <w:rPr>
          <w:rFonts w:cstheme="minorHAnsi"/>
          <w:szCs w:val="24"/>
        </w:rPr>
        <w:t xml:space="preserve"> the reagents for the respective assay </w:t>
      </w:r>
      <w:r w:rsidR="0031523F" w:rsidRPr="00997DE9">
        <w:rPr>
          <w:rFonts w:cstheme="minorHAnsi"/>
          <w:szCs w:val="24"/>
        </w:rPr>
        <w:t>were</w:t>
      </w:r>
      <w:r w:rsidRPr="00997DE9">
        <w:rPr>
          <w:rFonts w:cstheme="minorHAnsi"/>
          <w:szCs w:val="24"/>
        </w:rPr>
        <w:t xml:space="preserve"> prepared. Therefore 1x-MAS buffer </w:t>
      </w:r>
      <w:r w:rsidR="0031523F" w:rsidRPr="00997DE9">
        <w:rPr>
          <w:rFonts w:cstheme="minorHAnsi"/>
          <w:szCs w:val="24"/>
        </w:rPr>
        <w:t>was</w:t>
      </w:r>
      <w:r w:rsidRPr="00997DE9">
        <w:rPr>
          <w:rFonts w:cstheme="minorHAnsi"/>
          <w:szCs w:val="24"/>
        </w:rPr>
        <w:t xml:space="preserve"> </w:t>
      </w:r>
      <w:r w:rsidR="00457F3B" w:rsidRPr="00997DE9">
        <w:rPr>
          <w:rFonts w:cstheme="minorHAnsi"/>
          <w:szCs w:val="24"/>
        </w:rPr>
        <w:t xml:space="preserve">warmed to 37°C in the water bath. </w:t>
      </w:r>
    </w:p>
    <w:p w:rsidR="00457F3B" w:rsidRPr="00997DE9" w:rsidRDefault="00457F3B" w:rsidP="00013F3D">
      <w:pPr>
        <w:pStyle w:val="standard2"/>
        <w:spacing w:line="276" w:lineRule="auto"/>
      </w:pPr>
      <w:r w:rsidRPr="00997DE9">
        <w:rPr>
          <w:rFonts w:cstheme="minorHAnsi"/>
          <w:szCs w:val="24"/>
        </w:rPr>
        <w:t xml:space="preserve">The prepared stock solutions of mitochondrial effectors and oxidizable substrates </w:t>
      </w:r>
      <w:r w:rsidR="0031523F" w:rsidRPr="00997DE9">
        <w:rPr>
          <w:rFonts w:cstheme="minorHAnsi"/>
          <w:szCs w:val="24"/>
        </w:rPr>
        <w:t>had</w:t>
      </w:r>
      <w:r w:rsidR="00FE08B1" w:rsidRPr="00997DE9">
        <w:rPr>
          <w:rFonts w:cstheme="minorHAnsi"/>
          <w:szCs w:val="24"/>
        </w:rPr>
        <w:t xml:space="preserve"> to be </w:t>
      </w:r>
      <w:r w:rsidR="00A65A38" w:rsidRPr="00997DE9">
        <w:rPr>
          <w:rFonts w:cstheme="minorHAnsi"/>
          <w:szCs w:val="24"/>
        </w:rPr>
        <w:t>thawed</w:t>
      </w:r>
      <w:r w:rsidR="00FE08B1" w:rsidRPr="00997DE9">
        <w:rPr>
          <w:rFonts w:cstheme="minorHAnsi"/>
          <w:szCs w:val="24"/>
        </w:rPr>
        <w:t xml:space="preserve"> if they </w:t>
      </w:r>
      <w:r w:rsidR="0031523F" w:rsidRPr="00997DE9">
        <w:rPr>
          <w:rFonts w:cstheme="minorHAnsi"/>
          <w:szCs w:val="24"/>
        </w:rPr>
        <w:t>were</w:t>
      </w:r>
      <w:r w:rsidR="00FE08B1" w:rsidRPr="00997DE9">
        <w:rPr>
          <w:rFonts w:cstheme="minorHAnsi"/>
          <w:szCs w:val="24"/>
        </w:rPr>
        <w:t xml:space="preserve"> frozen.</w:t>
      </w:r>
    </w:p>
    <w:p w:rsidR="00457F3B" w:rsidRPr="00997DE9" w:rsidRDefault="00457F3B" w:rsidP="00013F3D">
      <w:pPr>
        <w:pStyle w:val="standard2"/>
        <w:spacing w:line="276" w:lineRule="auto"/>
      </w:pPr>
      <w:r w:rsidRPr="00997DE9">
        <w:t xml:space="preserve">MAS-buffer is used to prepare </w:t>
      </w:r>
      <w:r w:rsidR="0031523F" w:rsidRPr="00997DE9">
        <w:t xml:space="preserve">the </w:t>
      </w:r>
      <w:r w:rsidRPr="00997DE9">
        <w:t xml:space="preserve">10x port solutions, </w:t>
      </w:r>
      <w:r w:rsidR="00FE08B1" w:rsidRPr="00997DE9">
        <w:t>which are</w:t>
      </w:r>
      <w:r w:rsidRPr="00997DE9">
        <w:t xml:space="preserve"> loaded </w:t>
      </w:r>
      <w:r w:rsidRPr="00997DE9">
        <w:rPr>
          <w:rFonts w:cstheme="minorHAnsi"/>
          <w:szCs w:val="24"/>
        </w:rPr>
        <w:t>into the ports of the cartridges</w:t>
      </w:r>
      <w:r w:rsidR="006D1864" w:rsidRPr="00997DE9">
        <w:rPr>
          <w:rFonts w:cstheme="minorHAnsi"/>
          <w:szCs w:val="24"/>
        </w:rPr>
        <w:t xml:space="preserve">. The desired final concentrations for oxidizable substrates and mitochondrial </w:t>
      </w:r>
      <w:r w:rsidR="00437D43" w:rsidRPr="00997DE9">
        <w:rPr>
          <w:rFonts w:cstheme="minorHAnsi"/>
          <w:szCs w:val="24"/>
        </w:rPr>
        <w:t>inhibitors</w:t>
      </w:r>
      <w:r w:rsidR="006D1864" w:rsidRPr="00997DE9">
        <w:rPr>
          <w:rFonts w:cstheme="minorHAnsi"/>
          <w:szCs w:val="24"/>
        </w:rPr>
        <w:t xml:space="preserve"> are listed in </w:t>
      </w:r>
      <w:r w:rsidR="0031523F" w:rsidRPr="00997DE9">
        <w:rPr>
          <w:rFonts w:cstheme="minorHAnsi"/>
          <w:szCs w:val="24"/>
        </w:rPr>
        <w:t>above t</w:t>
      </w:r>
      <w:r w:rsidR="006D1864" w:rsidRPr="00997DE9">
        <w:rPr>
          <w:rFonts w:cstheme="minorHAnsi"/>
          <w:szCs w:val="24"/>
        </w:rPr>
        <w:t>able</w:t>
      </w:r>
      <w:r w:rsidR="0031523F" w:rsidRPr="00997DE9">
        <w:rPr>
          <w:rFonts w:cstheme="minorHAnsi"/>
          <w:szCs w:val="24"/>
        </w:rPr>
        <w:t>s</w:t>
      </w:r>
      <w:r w:rsidR="006D1864" w:rsidRPr="00997DE9">
        <w:rPr>
          <w:rFonts w:cstheme="minorHAnsi"/>
          <w:szCs w:val="24"/>
        </w:rPr>
        <w:t xml:space="preserve">.  </w:t>
      </w:r>
    </w:p>
    <w:p w:rsidR="00B12060" w:rsidRPr="00997DE9" w:rsidRDefault="00D768FB" w:rsidP="00013F3D">
      <w:pPr>
        <w:pStyle w:val="standard2"/>
        <w:spacing w:line="276" w:lineRule="auto"/>
      </w:pPr>
      <w:r w:rsidRPr="00997DE9">
        <w:t xml:space="preserve">After preparing the desired concentrated </w:t>
      </w:r>
      <w:r w:rsidR="00A65A38" w:rsidRPr="00997DE9">
        <w:t>port solutions</w:t>
      </w:r>
      <w:r w:rsidRPr="00997DE9">
        <w:t>, they are loaded into the appr</w:t>
      </w:r>
      <w:r w:rsidR="001519A7" w:rsidRPr="00997DE9">
        <w:t>opriate ports of the cartridge, by adding 56 µl/62 µl/69 µl/7</w:t>
      </w:r>
      <w:r w:rsidR="00907582">
        <w:t>5</w:t>
      </w:r>
      <w:r w:rsidR="001519A7" w:rsidRPr="00997DE9">
        <w:t xml:space="preserve"> µl </w:t>
      </w:r>
      <w:r w:rsidR="0031523F" w:rsidRPr="00997DE9">
        <w:t>in</w:t>
      </w:r>
      <w:r w:rsidR="001519A7" w:rsidRPr="00997DE9">
        <w:t>to port</w:t>
      </w:r>
      <w:r w:rsidR="0031523F" w:rsidRPr="00997DE9">
        <w:t>s</w:t>
      </w:r>
      <w:r w:rsidR="001519A7" w:rsidRPr="00997DE9">
        <w:t xml:space="preserve"> A/B/C/D, respectively.</w:t>
      </w:r>
    </w:p>
    <w:p w:rsidR="00B31144" w:rsidRPr="00997DE9" w:rsidRDefault="00B31144" w:rsidP="00013F3D">
      <w:pPr>
        <w:pStyle w:val="standard2"/>
        <w:spacing w:line="276" w:lineRule="auto"/>
      </w:pPr>
      <w:r w:rsidRPr="00997DE9">
        <w:t xml:space="preserve">Until the start of the assay, the cartridge </w:t>
      </w:r>
      <w:r w:rsidR="002465D0" w:rsidRPr="00997DE9">
        <w:t>was</w:t>
      </w:r>
      <w:r w:rsidRPr="00997DE9">
        <w:t xml:space="preserve"> incubated at 37°C</w:t>
      </w:r>
      <w:r w:rsidR="00A65A38" w:rsidRPr="00997DE9">
        <w:t xml:space="preserve"> without CO2</w:t>
      </w:r>
      <w:r w:rsidR="002465D0" w:rsidRPr="00997DE9">
        <w:t>.</w:t>
      </w:r>
    </w:p>
    <w:p w:rsidR="00B31144" w:rsidRPr="00997DE9" w:rsidRDefault="00A65A38" w:rsidP="00013F3D">
      <w:pPr>
        <w:pStyle w:val="standard2"/>
        <w:spacing w:line="276" w:lineRule="auto"/>
      </w:pPr>
      <w:r w:rsidRPr="00997DE9">
        <w:lastRenderedPageBreak/>
        <w:t>Create</w:t>
      </w:r>
      <w:r w:rsidR="00F07FE4" w:rsidRPr="00997DE9">
        <w:t xml:space="preserve"> an XF assay template with Mix/Wait/Measure times of 2 min/1 min/2 min, respectively. The equilibration step is excluded from the assay template. Each step is repeated two </w:t>
      </w:r>
      <w:r w:rsidRPr="00997DE9">
        <w:t>cycles</w:t>
      </w:r>
      <w:r w:rsidR="00F07FE4" w:rsidRPr="00997DE9">
        <w:t>.</w:t>
      </w:r>
    </w:p>
    <w:p w:rsidR="001519A7" w:rsidRPr="00997DE9" w:rsidRDefault="00D304E2" w:rsidP="00013F3D">
      <w:pPr>
        <w:pStyle w:val="standard2"/>
        <w:spacing w:line="276" w:lineRule="auto"/>
      </w:pPr>
      <w:r w:rsidRPr="00997DE9">
        <w:t xml:space="preserve">After the calibration step of the XF assay template is finished, the cell culture plate is removed from the incubator. </w:t>
      </w:r>
    </w:p>
    <w:p w:rsidR="00D304E2" w:rsidRDefault="002465D0" w:rsidP="00013F3D">
      <w:pPr>
        <w:pStyle w:val="standard2"/>
        <w:spacing w:line="276" w:lineRule="auto"/>
      </w:pPr>
      <w:r w:rsidRPr="00997DE9">
        <w:t>The medium was</w:t>
      </w:r>
      <w:r w:rsidR="00D304E2" w:rsidRPr="00997DE9">
        <w:t xml:space="preserve"> replaced with </w:t>
      </w:r>
      <w:r w:rsidRPr="00997DE9">
        <w:t>pre-</w:t>
      </w:r>
      <w:r w:rsidR="00D304E2" w:rsidRPr="00997DE9">
        <w:t>warm</w:t>
      </w:r>
      <w:r w:rsidRPr="00997DE9">
        <w:t>ed</w:t>
      </w:r>
      <w:r w:rsidR="00D304E2" w:rsidRPr="00997DE9">
        <w:t xml:space="preserve"> </w:t>
      </w:r>
      <w:r w:rsidR="00A65A38" w:rsidRPr="00997DE9">
        <w:t xml:space="preserve">1x </w:t>
      </w:r>
      <w:r w:rsidR="00D304E2" w:rsidRPr="00997DE9">
        <w:t>MAS-buffer</w:t>
      </w:r>
      <w:r w:rsidRPr="00997DE9">
        <w:t xml:space="preserve"> (37°C)</w:t>
      </w:r>
      <w:r w:rsidR="00907582">
        <w:t xml:space="preserve"> supplemented with digitonin and ADP</w:t>
      </w:r>
      <w:r w:rsidR="00D304E2" w:rsidRPr="00997DE9">
        <w:t xml:space="preserve">. </w:t>
      </w:r>
      <w:r w:rsidR="004E6F5E" w:rsidRPr="00997DE9">
        <w:t>Therefore,</w:t>
      </w:r>
      <w:r w:rsidR="00D304E2" w:rsidRPr="00997DE9">
        <w:t xml:space="preserve"> the medium </w:t>
      </w:r>
      <w:r w:rsidRPr="00997DE9">
        <w:t>was</w:t>
      </w:r>
      <w:r w:rsidR="00D304E2" w:rsidRPr="00997DE9">
        <w:t xml:space="preserve"> carefully aspirated, and 500 µl of MAS-buffer </w:t>
      </w:r>
      <w:r w:rsidRPr="00997DE9">
        <w:t>was</w:t>
      </w:r>
      <w:r w:rsidR="00D304E2" w:rsidRPr="00997DE9">
        <w:t xml:space="preserve"> added to each well of the cell culture plate. </w:t>
      </w:r>
    </w:p>
    <w:p w:rsidR="00907582" w:rsidRPr="00997DE9" w:rsidRDefault="00907582" w:rsidP="00907582">
      <w:pPr>
        <w:pStyle w:val="standard2"/>
        <w:numPr>
          <w:ilvl w:val="1"/>
          <w:numId w:val="2"/>
        </w:numPr>
        <w:spacing w:line="276" w:lineRule="auto"/>
      </w:pPr>
      <w:r>
        <w:t>MAS 12.857 ml + digitonin 13 ul (25 µg/ml on cells) of stock and ADP 130 µl of stock (1 mM on cells)</w:t>
      </w:r>
    </w:p>
    <w:p w:rsidR="0076221B" w:rsidRPr="00997DE9" w:rsidRDefault="004D3481" w:rsidP="00013F3D">
      <w:pPr>
        <w:pStyle w:val="standard2"/>
        <w:spacing w:line="276" w:lineRule="auto"/>
      </w:pPr>
      <w:r w:rsidRPr="00997DE9">
        <w:t xml:space="preserve">The utility plate </w:t>
      </w:r>
      <w:r w:rsidR="002465D0" w:rsidRPr="00997DE9">
        <w:t>was</w:t>
      </w:r>
      <w:r w:rsidRPr="00997DE9">
        <w:t xml:space="preserve"> removed from the analyzer and </w:t>
      </w:r>
      <w:r w:rsidR="002465D0" w:rsidRPr="00997DE9">
        <w:t xml:space="preserve">was </w:t>
      </w:r>
      <w:r w:rsidRPr="00997DE9">
        <w:t>di</w:t>
      </w:r>
      <w:r w:rsidR="00A65A38" w:rsidRPr="00997DE9">
        <w:t>scarded, while the cartridge rem</w:t>
      </w:r>
      <w:r w:rsidRPr="00997DE9">
        <w:t>ain</w:t>
      </w:r>
      <w:r w:rsidR="002465D0" w:rsidRPr="00997DE9">
        <w:t>ed</w:t>
      </w:r>
      <w:r w:rsidRPr="00997DE9">
        <w:t xml:space="preserve"> in the instrument.</w:t>
      </w:r>
    </w:p>
    <w:p w:rsidR="001330A5" w:rsidRPr="00997DE9" w:rsidRDefault="00264174" w:rsidP="00013F3D">
      <w:pPr>
        <w:pStyle w:val="standard2"/>
        <w:spacing w:line="276" w:lineRule="auto"/>
      </w:pPr>
      <w:r w:rsidRPr="00997DE9">
        <w:t>Finally,</w:t>
      </w:r>
      <w:r w:rsidR="00D304E2" w:rsidRPr="00997DE9">
        <w:t xml:space="preserve"> the cell culture plate </w:t>
      </w:r>
      <w:r w:rsidR="002465D0" w:rsidRPr="00997DE9">
        <w:t>was</w:t>
      </w:r>
      <w:r w:rsidR="00D304E2" w:rsidRPr="00997DE9">
        <w:t xml:space="preserve"> inserted into the XF analyzer</w:t>
      </w:r>
      <w:r w:rsidR="00E400BD" w:rsidRPr="00997DE9">
        <w:t xml:space="preserve"> and the assay </w:t>
      </w:r>
      <w:r w:rsidR="002465D0" w:rsidRPr="00997DE9">
        <w:t xml:space="preserve">was </w:t>
      </w:r>
      <w:r w:rsidR="00E400BD" w:rsidRPr="00997DE9">
        <w:t>started.</w:t>
      </w:r>
    </w:p>
    <w:p w:rsidR="00F270E5" w:rsidRPr="00997DE9" w:rsidRDefault="002465D0" w:rsidP="002465D0">
      <w:pPr>
        <w:pStyle w:val="1"/>
      </w:pPr>
      <w:r w:rsidRPr="00997DE9">
        <w:t>Data analysis</w:t>
      </w:r>
    </w:p>
    <w:p w:rsidR="002465D0" w:rsidRPr="00997DE9" w:rsidRDefault="002465D0" w:rsidP="00013F3D">
      <w:pPr>
        <w:pStyle w:val="Listenabsatz"/>
        <w:numPr>
          <w:ilvl w:val="0"/>
          <w:numId w:val="3"/>
        </w:numPr>
        <w:rPr>
          <w:lang w:val="en-US"/>
        </w:rPr>
      </w:pPr>
      <w:r w:rsidRPr="00997DE9">
        <w:rPr>
          <w:lang w:val="en-US"/>
        </w:rPr>
        <w:t>Each experiment has to contain control treated (solvent) samples</w:t>
      </w:r>
    </w:p>
    <w:p w:rsidR="002465D0" w:rsidRPr="00997DE9" w:rsidRDefault="002465D0" w:rsidP="00013F3D">
      <w:pPr>
        <w:pStyle w:val="Listenabsatz"/>
        <w:numPr>
          <w:ilvl w:val="0"/>
          <w:numId w:val="3"/>
        </w:numPr>
        <w:rPr>
          <w:lang w:val="en-US"/>
        </w:rPr>
      </w:pPr>
      <w:r w:rsidRPr="00997DE9">
        <w:rPr>
          <w:lang w:val="en-US"/>
        </w:rPr>
        <w:t>Oxygen levels have to be checked before deeper data analysis (mmO2, not OCR!)</w:t>
      </w:r>
    </w:p>
    <w:p w:rsidR="002465D0" w:rsidRPr="00997DE9" w:rsidRDefault="002465D0" w:rsidP="00013F3D">
      <w:pPr>
        <w:pStyle w:val="Listenabsatz"/>
        <w:numPr>
          <w:ilvl w:val="0"/>
          <w:numId w:val="3"/>
        </w:numPr>
        <w:rPr>
          <w:lang w:val="en-US"/>
        </w:rPr>
      </w:pPr>
      <w:r w:rsidRPr="00997DE9">
        <w:rPr>
          <w:lang w:val="en-US"/>
        </w:rPr>
        <w:t>If oxygen doesn’t get depleted, the data can be analyzed.</w:t>
      </w:r>
    </w:p>
    <w:p w:rsidR="002465D0" w:rsidRPr="00997DE9" w:rsidRDefault="002465D0" w:rsidP="00013F3D">
      <w:pPr>
        <w:pStyle w:val="Listenabsatz"/>
        <w:numPr>
          <w:ilvl w:val="0"/>
          <w:numId w:val="3"/>
        </w:numPr>
        <w:rPr>
          <w:lang w:val="en-US"/>
        </w:rPr>
      </w:pPr>
      <w:r w:rsidRPr="00997DE9">
        <w:rPr>
          <w:lang w:val="en-US"/>
        </w:rPr>
        <w:t>First, basal respiration of all wells gets normalized to the last measurement value before compound injection via port A</w:t>
      </w:r>
    </w:p>
    <w:p w:rsidR="002465D0" w:rsidRPr="00997DE9" w:rsidRDefault="002465D0" w:rsidP="00013F3D">
      <w:pPr>
        <w:pStyle w:val="Listenabsatz"/>
        <w:numPr>
          <w:ilvl w:val="0"/>
          <w:numId w:val="3"/>
        </w:numPr>
        <w:rPr>
          <w:lang w:val="en-US"/>
        </w:rPr>
      </w:pPr>
      <w:r w:rsidRPr="00997DE9">
        <w:rPr>
          <w:lang w:val="en-US"/>
        </w:rPr>
        <w:t>Then the oxygen consumption rate of the first measurement cycle after each tool substrate/tool inhibitor mix injection undergoes comparison. Inhibition results in OCR values smaller in treated samples than in control samples, uncoupling vice versa.</w:t>
      </w:r>
    </w:p>
    <w:p w:rsidR="002465D0" w:rsidRPr="00997DE9" w:rsidRDefault="002465D0" w:rsidP="00013F3D">
      <w:pPr>
        <w:pStyle w:val="Listenabsatz"/>
        <w:numPr>
          <w:ilvl w:val="0"/>
          <w:numId w:val="3"/>
        </w:numPr>
        <w:rPr>
          <w:lang w:val="en-US"/>
        </w:rPr>
      </w:pPr>
      <w:r w:rsidRPr="00997DE9">
        <w:rPr>
          <w:lang w:val="en-US"/>
        </w:rPr>
        <w:t>Compound effects are expressed as percent inhibition relative to control</w:t>
      </w:r>
    </w:p>
    <w:p w:rsidR="002465D0" w:rsidRPr="00997DE9" w:rsidRDefault="002465D0" w:rsidP="00013F3D">
      <w:pPr>
        <w:pStyle w:val="Listenabsatz"/>
        <w:numPr>
          <w:ilvl w:val="0"/>
          <w:numId w:val="3"/>
        </w:numPr>
        <w:rPr>
          <w:lang w:val="en-US"/>
        </w:rPr>
      </w:pPr>
      <w:r w:rsidRPr="00997DE9">
        <w:rPr>
          <w:lang w:val="en-US"/>
        </w:rPr>
        <w:t>Over several experiments (4 weeks, 30 compounds, 4 complexes assessed), the SD of the measurement was 12.5%. Thus compound effects of &gt;25% (=2xSD) were considered as “biologically significant”</w:t>
      </w:r>
    </w:p>
    <w:p w:rsidR="002465D0" w:rsidRPr="00997DE9" w:rsidRDefault="002465D0" w:rsidP="00F270E5">
      <w:pPr>
        <w:rPr>
          <w:lang w:val="en-US"/>
        </w:rPr>
      </w:pPr>
    </w:p>
    <w:p w:rsidR="00F270E5" w:rsidRPr="00997DE9" w:rsidRDefault="00F270E5" w:rsidP="00F270E5">
      <w:pPr>
        <w:rPr>
          <w:lang w:val="en-US"/>
        </w:rPr>
      </w:pPr>
    </w:p>
    <w:sectPr w:rsidR="00F270E5" w:rsidRPr="00997DE9">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6AA" w:rsidRDefault="001316AA" w:rsidP="00DE67BF">
      <w:pPr>
        <w:spacing w:after="0" w:line="240" w:lineRule="auto"/>
      </w:pPr>
      <w:r>
        <w:separator/>
      </w:r>
    </w:p>
  </w:endnote>
  <w:endnote w:type="continuationSeparator" w:id="0">
    <w:p w:rsidR="001316AA" w:rsidRDefault="001316AA" w:rsidP="00D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id w:val="-891269777"/>
      <w:docPartObj>
        <w:docPartGallery w:val="Page Numbers (Bottom of Page)"/>
        <w:docPartUnique/>
      </w:docPartObj>
    </w:sdtPr>
    <w:sdtEndPr/>
    <w:sdtContent>
      <w:sdt>
        <w:sdtPr>
          <w:rPr>
            <w:color w:val="7F7F7F" w:themeColor="text1" w:themeTint="80"/>
          </w:rPr>
          <w:id w:val="-1769616900"/>
          <w:docPartObj>
            <w:docPartGallery w:val="Page Numbers (Top of Page)"/>
            <w:docPartUnique/>
          </w:docPartObj>
        </w:sdtPr>
        <w:sdtEndPr/>
        <w:sdtContent>
          <w:p w:rsidR="00DE67BF" w:rsidRPr="00DE67BF" w:rsidRDefault="00DE67BF" w:rsidP="00DE67BF">
            <w:pPr>
              <w:pStyle w:val="Fuzeile"/>
              <w:jc w:val="right"/>
              <w:rPr>
                <w:color w:val="7F7F7F" w:themeColor="text1" w:themeTint="80"/>
              </w:rPr>
            </w:pPr>
            <w:r w:rsidRPr="00DE67BF">
              <w:rPr>
                <w:color w:val="7F7F7F" w:themeColor="text1" w:themeTint="80"/>
              </w:rPr>
              <w:t xml:space="preserve">Page </w:t>
            </w:r>
            <w:r w:rsidRPr="00DE67BF">
              <w:rPr>
                <w:b/>
                <w:bCs/>
                <w:color w:val="7F7F7F" w:themeColor="text1" w:themeTint="80"/>
                <w:sz w:val="24"/>
                <w:szCs w:val="24"/>
              </w:rPr>
              <w:fldChar w:fldCharType="begin"/>
            </w:r>
            <w:r w:rsidRPr="00DE67BF">
              <w:rPr>
                <w:b/>
                <w:bCs/>
                <w:color w:val="7F7F7F" w:themeColor="text1" w:themeTint="80"/>
              </w:rPr>
              <w:instrText>PAGE</w:instrText>
            </w:r>
            <w:r w:rsidRPr="00DE67BF">
              <w:rPr>
                <w:b/>
                <w:bCs/>
                <w:color w:val="7F7F7F" w:themeColor="text1" w:themeTint="80"/>
                <w:sz w:val="24"/>
                <w:szCs w:val="24"/>
              </w:rPr>
              <w:fldChar w:fldCharType="separate"/>
            </w:r>
            <w:r w:rsidR="009969FC">
              <w:rPr>
                <w:b/>
                <w:bCs/>
                <w:noProof/>
                <w:color w:val="7F7F7F" w:themeColor="text1" w:themeTint="80"/>
              </w:rPr>
              <w:t>4</w:t>
            </w:r>
            <w:r w:rsidRPr="00DE67BF">
              <w:rPr>
                <w:b/>
                <w:bCs/>
                <w:color w:val="7F7F7F" w:themeColor="text1" w:themeTint="80"/>
                <w:sz w:val="24"/>
                <w:szCs w:val="24"/>
              </w:rPr>
              <w:fldChar w:fldCharType="end"/>
            </w:r>
            <w:r w:rsidRPr="00DE67BF">
              <w:rPr>
                <w:color w:val="7F7F7F" w:themeColor="text1" w:themeTint="80"/>
              </w:rPr>
              <w:t xml:space="preserve"> of </w:t>
            </w:r>
            <w:r w:rsidRPr="00DE67BF">
              <w:rPr>
                <w:b/>
                <w:bCs/>
                <w:color w:val="7F7F7F" w:themeColor="text1" w:themeTint="80"/>
                <w:sz w:val="24"/>
                <w:szCs w:val="24"/>
              </w:rPr>
              <w:fldChar w:fldCharType="begin"/>
            </w:r>
            <w:r w:rsidRPr="00DE67BF">
              <w:rPr>
                <w:b/>
                <w:bCs/>
                <w:color w:val="7F7F7F" w:themeColor="text1" w:themeTint="80"/>
              </w:rPr>
              <w:instrText>NUMPAGES</w:instrText>
            </w:r>
            <w:r w:rsidRPr="00DE67BF">
              <w:rPr>
                <w:b/>
                <w:bCs/>
                <w:color w:val="7F7F7F" w:themeColor="text1" w:themeTint="80"/>
                <w:sz w:val="24"/>
                <w:szCs w:val="24"/>
              </w:rPr>
              <w:fldChar w:fldCharType="separate"/>
            </w:r>
            <w:r w:rsidR="009969FC">
              <w:rPr>
                <w:b/>
                <w:bCs/>
                <w:noProof/>
                <w:color w:val="7F7F7F" w:themeColor="text1" w:themeTint="80"/>
              </w:rPr>
              <w:t>4</w:t>
            </w:r>
            <w:r w:rsidRPr="00DE67BF">
              <w:rPr>
                <w:b/>
                <w:bCs/>
                <w:color w:val="7F7F7F" w:themeColor="text1" w:themeTint="80"/>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6AA" w:rsidRDefault="001316AA" w:rsidP="00DE67BF">
      <w:pPr>
        <w:spacing w:after="0" w:line="240" w:lineRule="auto"/>
      </w:pPr>
      <w:r>
        <w:separator/>
      </w:r>
    </w:p>
  </w:footnote>
  <w:footnote w:type="continuationSeparator" w:id="0">
    <w:p w:rsidR="001316AA" w:rsidRDefault="001316AA" w:rsidP="00DE6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4EFE"/>
    <w:multiLevelType w:val="hybridMultilevel"/>
    <w:tmpl w:val="309055A6"/>
    <w:lvl w:ilvl="0" w:tplc="19D8F7B2">
      <w:start w:val="1"/>
      <w:numFmt w:val="decimal"/>
      <w:pStyle w:val="standard2"/>
      <w:lvlText w:val="%1."/>
      <w:lvlJc w:val="left"/>
      <w:pPr>
        <w:ind w:left="363" w:hanging="360"/>
      </w:pPr>
      <w:rPr>
        <w:rFonts w:hint="default"/>
      </w:rPr>
    </w:lvl>
    <w:lvl w:ilvl="1" w:tplc="04070019">
      <w:start w:val="1"/>
      <w:numFmt w:val="lowerLetter"/>
      <w:lvlText w:val="%2."/>
      <w:lvlJc w:val="left"/>
      <w:pPr>
        <w:ind w:left="1083" w:hanging="360"/>
      </w:pPr>
    </w:lvl>
    <w:lvl w:ilvl="2" w:tplc="0407001B" w:tentative="1">
      <w:start w:val="1"/>
      <w:numFmt w:val="lowerRoman"/>
      <w:lvlText w:val="%3."/>
      <w:lvlJc w:val="right"/>
      <w:pPr>
        <w:ind w:left="1803" w:hanging="180"/>
      </w:pPr>
    </w:lvl>
    <w:lvl w:ilvl="3" w:tplc="0407000F" w:tentative="1">
      <w:start w:val="1"/>
      <w:numFmt w:val="decimal"/>
      <w:lvlText w:val="%4."/>
      <w:lvlJc w:val="left"/>
      <w:pPr>
        <w:ind w:left="2523" w:hanging="360"/>
      </w:pPr>
    </w:lvl>
    <w:lvl w:ilvl="4" w:tplc="04070019" w:tentative="1">
      <w:start w:val="1"/>
      <w:numFmt w:val="lowerLetter"/>
      <w:lvlText w:val="%5."/>
      <w:lvlJc w:val="left"/>
      <w:pPr>
        <w:ind w:left="3243" w:hanging="360"/>
      </w:pPr>
    </w:lvl>
    <w:lvl w:ilvl="5" w:tplc="0407001B" w:tentative="1">
      <w:start w:val="1"/>
      <w:numFmt w:val="lowerRoman"/>
      <w:lvlText w:val="%6."/>
      <w:lvlJc w:val="right"/>
      <w:pPr>
        <w:ind w:left="3963" w:hanging="180"/>
      </w:pPr>
    </w:lvl>
    <w:lvl w:ilvl="6" w:tplc="0407000F" w:tentative="1">
      <w:start w:val="1"/>
      <w:numFmt w:val="decimal"/>
      <w:lvlText w:val="%7."/>
      <w:lvlJc w:val="left"/>
      <w:pPr>
        <w:ind w:left="4683" w:hanging="360"/>
      </w:pPr>
    </w:lvl>
    <w:lvl w:ilvl="7" w:tplc="04070019" w:tentative="1">
      <w:start w:val="1"/>
      <w:numFmt w:val="lowerLetter"/>
      <w:lvlText w:val="%8."/>
      <w:lvlJc w:val="left"/>
      <w:pPr>
        <w:ind w:left="5403" w:hanging="360"/>
      </w:pPr>
    </w:lvl>
    <w:lvl w:ilvl="8" w:tplc="0407001B" w:tentative="1">
      <w:start w:val="1"/>
      <w:numFmt w:val="lowerRoman"/>
      <w:lvlText w:val="%9."/>
      <w:lvlJc w:val="right"/>
      <w:pPr>
        <w:ind w:left="6123" w:hanging="180"/>
      </w:pPr>
    </w:lvl>
  </w:abstractNum>
  <w:abstractNum w:abstractNumId="1" w15:restartNumberingAfterBreak="0">
    <w:nsid w:val="26FC5DDF"/>
    <w:multiLevelType w:val="hybridMultilevel"/>
    <w:tmpl w:val="17AEC21A"/>
    <w:lvl w:ilvl="0" w:tplc="92FA044C">
      <w:start w:val="1"/>
      <w:numFmt w:val="decimal"/>
      <w:pStyle w:val="1berschrif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7C63357"/>
    <w:multiLevelType w:val="hybridMultilevel"/>
    <w:tmpl w:val="FD24FF1A"/>
    <w:lvl w:ilvl="0" w:tplc="1856E86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DB"/>
    <w:rsid w:val="00013F3D"/>
    <w:rsid w:val="000404B3"/>
    <w:rsid w:val="000A29AD"/>
    <w:rsid w:val="001316AA"/>
    <w:rsid w:val="001330A5"/>
    <w:rsid w:val="001454C2"/>
    <w:rsid w:val="001519A7"/>
    <w:rsid w:val="00151D55"/>
    <w:rsid w:val="002465D0"/>
    <w:rsid w:val="00253B4F"/>
    <w:rsid w:val="00264174"/>
    <w:rsid w:val="002E5190"/>
    <w:rsid w:val="0031523F"/>
    <w:rsid w:val="00317708"/>
    <w:rsid w:val="003D15D7"/>
    <w:rsid w:val="003F26DB"/>
    <w:rsid w:val="00437D43"/>
    <w:rsid w:val="00457F3B"/>
    <w:rsid w:val="00484E26"/>
    <w:rsid w:val="004A1222"/>
    <w:rsid w:val="004B24AB"/>
    <w:rsid w:val="004D3481"/>
    <w:rsid w:val="004E6F5E"/>
    <w:rsid w:val="005616F8"/>
    <w:rsid w:val="005E6E75"/>
    <w:rsid w:val="00674B4D"/>
    <w:rsid w:val="00697898"/>
    <w:rsid w:val="006D1864"/>
    <w:rsid w:val="0076221B"/>
    <w:rsid w:val="0080081A"/>
    <w:rsid w:val="00800A32"/>
    <w:rsid w:val="00840634"/>
    <w:rsid w:val="00907582"/>
    <w:rsid w:val="009945A1"/>
    <w:rsid w:val="009969FC"/>
    <w:rsid w:val="00997DE9"/>
    <w:rsid w:val="009E5AC2"/>
    <w:rsid w:val="00A65A38"/>
    <w:rsid w:val="00AD36E8"/>
    <w:rsid w:val="00B12060"/>
    <w:rsid w:val="00B31144"/>
    <w:rsid w:val="00B45AB1"/>
    <w:rsid w:val="00BC56E0"/>
    <w:rsid w:val="00BE201C"/>
    <w:rsid w:val="00C602FE"/>
    <w:rsid w:val="00D304E2"/>
    <w:rsid w:val="00D768FB"/>
    <w:rsid w:val="00DE67BF"/>
    <w:rsid w:val="00E400BD"/>
    <w:rsid w:val="00E5020C"/>
    <w:rsid w:val="00EC6A09"/>
    <w:rsid w:val="00ED4FD7"/>
    <w:rsid w:val="00EF275D"/>
    <w:rsid w:val="00F07FE4"/>
    <w:rsid w:val="00F13CDA"/>
    <w:rsid w:val="00F270E5"/>
    <w:rsid w:val="00FE08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AF7A0-0ABD-4B97-ABDA-881487EB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3F3D"/>
    <w:pPr>
      <w:spacing w:line="276" w:lineRule="auto"/>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erschrift">
    <w:name w:val="1. Überschrift"/>
    <w:next w:val="Standard"/>
    <w:link w:val="1berschriftZchn"/>
    <w:autoRedefine/>
    <w:qFormat/>
    <w:rsid w:val="00674B4D"/>
    <w:pPr>
      <w:numPr>
        <w:numId w:val="1"/>
      </w:numPr>
    </w:pPr>
    <w:rPr>
      <w:rFonts w:asciiTheme="majorHAnsi" w:eastAsiaTheme="majorEastAsia" w:hAnsiTheme="majorHAnsi" w:cstheme="majorBidi"/>
      <w:b/>
      <w:color w:val="2F5496" w:themeColor="accent1" w:themeShade="BF"/>
      <w:sz w:val="36"/>
      <w:szCs w:val="32"/>
    </w:rPr>
  </w:style>
  <w:style w:type="character" w:customStyle="1" w:styleId="1berschriftZchn">
    <w:name w:val="1. Überschrift Zchn"/>
    <w:basedOn w:val="Absatz-Standardschriftart"/>
    <w:link w:val="1berschrift"/>
    <w:rsid w:val="00674B4D"/>
    <w:rPr>
      <w:rFonts w:asciiTheme="majorHAnsi" w:eastAsiaTheme="majorEastAsia" w:hAnsiTheme="majorHAnsi" w:cstheme="majorBidi"/>
      <w:b/>
      <w:color w:val="2F5496" w:themeColor="accent1" w:themeShade="BF"/>
      <w:sz w:val="36"/>
      <w:szCs w:val="32"/>
    </w:rPr>
  </w:style>
  <w:style w:type="paragraph" w:styleId="Listenabsatz">
    <w:name w:val="List Paragraph"/>
    <w:basedOn w:val="Standard"/>
    <w:link w:val="ListenabsatzZchn"/>
    <w:uiPriority w:val="34"/>
    <w:qFormat/>
    <w:rsid w:val="003D15D7"/>
    <w:pPr>
      <w:ind w:left="720"/>
      <w:contextualSpacing/>
    </w:pPr>
  </w:style>
  <w:style w:type="paragraph" w:customStyle="1" w:styleId="standard2">
    <w:name w:val="standard 2"/>
    <w:basedOn w:val="Listenabsatz"/>
    <w:link w:val="standard2Zchn"/>
    <w:qFormat/>
    <w:rsid w:val="00253B4F"/>
    <w:pPr>
      <w:numPr>
        <w:numId w:val="2"/>
      </w:numPr>
      <w:spacing w:line="360" w:lineRule="auto"/>
      <w:ind w:left="714" w:hanging="357"/>
    </w:pPr>
    <w:rPr>
      <w:lang w:val="en-US"/>
    </w:rPr>
  </w:style>
  <w:style w:type="character" w:customStyle="1" w:styleId="ListenabsatzZchn">
    <w:name w:val="Listenabsatz Zchn"/>
    <w:basedOn w:val="Absatz-Standardschriftart"/>
    <w:link w:val="Listenabsatz"/>
    <w:uiPriority w:val="34"/>
    <w:rsid w:val="00253B4F"/>
  </w:style>
  <w:style w:type="character" w:customStyle="1" w:styleId="standard2Zchn">
    <w:name w:val="standard 2 Zchn"/>
    <w:basedOn w:val="ListenabsatzZchn"/>
    <w:link w:val="standard2"/>
    <w:rsid w:val="00253B4F"/>
    <w:rPr>
      <w:lang w:val="en-US"/>
    </w:rPr>
  </w:style>
  <w:style w:type="paragraph" w:customStyle="1" w:styleId="1">
    <w:name w:val="Ü1"/>
    <w:basedOn w:val="Standard"/>
    <w:next w:val="Standard"/>
    <w:qFormat/>
    <w:rsid w:val="00F270E5"/>
    <w:rPr>
      <w:b/>
      <w:color w:val="4472C4" w:themeColor="accent1"/>
      <w:sz w:val="28"/>
      <w:lang w:val="en-US"/>
    </w:rPr>
  </w:style>
  <w:style w:type="paragraph" w:customStyle="1" w:styleId="0">
    <w:name w:val="Ü0"/>
    <w:basedOn w:val="1"/>
    <w:next w:val="Standard"/>
    <w:qFormat/>
    <w:rsid w:val="0031523F"/>
    <w:rPr>
      <w:color w:val="70AD47" w:themeColor="accent6"/>
      <w:sz w:val="32"/>
    </w:rPr>
  </w:style>
  <w:style w:type="paragraph" w:styleId="StandardWeb">
    <w:name w:val="Normal (Web)"/>
    <w:basedOn w:val="Standard"/>
    <w:uiPriority w:val="99"/>
    <w:unhideWhenUsed/>
    <w:rsid w:val="0031523F"/>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1523F"/>
    <w:rPr>
      <w:color w:val="0000FF"/>
      <w:u w:val="single"/>
    </w:rPr>
  </w:style>
  <w:style w:type="table" w:styleId="Gitternetztabelle1hellAkzent5">
    <w:name w:val="Grid Table 1 Light Accent 5"/>
    <w:basedOn w:val="NormaleTabelle"/>
    <w:uiPriority w:val="46"/>
    <w:rsid w:val="0031523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link w:val="BeschriftungZchn"/>
    <w:uiPriority w:val="35"/>
    <w:unhideWhenUsed/>
    <w:qFormat/>
    <w:rsid w:val="0031523F"/>
    <w:pPr>
      <w:spacing w:after="200" w:line="240" w:lineRule="auto"/>
      <w:jc w:val="left"/>
    </w:pPr>
    <w:rPr>
      <w:i/>
      <w:iCs/>
      <w:color w:val="44546A" w:themeColor="text2"/>
      <w:sz w:val="18"/>
      <w:szCs w:val="18"/>
    </w:rPr>
  </w:style>
  <w:style w:type="character" w:customStyle="1" w:styleId="BeschriftungZchn">
    <w:name w:val="Beschriftung Zchn"/>
    <w:basedOn w:val="Absatz-Standardschriftart"/>
    <w:link w:val="Beschriftung"/>
    <w:uiPriority w:val="35"/>
    <w:rsid w:val="0031523F"/>
    <w:rPr>
      <w:i/>
      <w:iCs/>
      <w:color w:val="44546A" w:themeColor="text2"/>
      <w:sz w:val="18"/>
      <w:szCs w:val="18"/>
    </w:rPr>
  </w:style>
  <w:style w:type="table" w:styleId="Gitternetztabelle1hellAkzent1">
    <w:name w:val="Grid Table 1 Light Accent 1"/>
    <w:basedOn w:val="NormaleTabelle"/>
    <w:uiPriority w:val="46"/>
    <w:rsid w:val="003152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DE67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67BF"/>
  </w:style>
  <w:style w:type="paragraph" w:styleId="Fuzeile">
    <w:name w:val="footer"/>
    <w:basedOn w:val="Standard"/>
    <w:link w:val="FuzeileZchn"/>
    <w:uiPriority w:val="99"/>
    <w:unhideWhenUsed/>
    <w:rsid w:val="00DE67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talog/search?term=141-82-2&amp;interface=CAS%20No.&amp;N=0&amp;mode=partialmax&amp;lang=de&amp;region=DE&amp;focus=produ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gmaaldrich.com/catalog/search?term=97-67-6&amp;interface=CAS%20No.&amp;N=0&amp;mode=partialmax&amp;lang=de&amp;region=DE&amp;focus=pro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gmaaldrich.com/catalog/search?term=100-22-1&amp;interface=CAS%20No.&amp;N=0&amp;mode=partialmax&amp;lang=de&amp;region=DE&amp;focus=product" TargetMode="External"/><Relationship Id="rId5" Type="http://schemas.openxmlformats.org/officeDocument/2006/relationships/footnotes" Target="footnotes.xml"/><Relationship Id="rId10" Type="http://schemas.openxmlformats.org/officeDocument/2006/relationships/hyperlink" Target="https://www.sigmaaldrich.com/catalog/search?term=110-15-6&amp;interface=CAS%20No.&amp;N=0&amp;mode=partialmax&amp;lang=de&amp;region=DE&amp;focus=product" TargetMode="External"/><Relationship Id="rId4" Type="http://schemas.openxmlformats.org/officeDocument/2006/relationships/webSettings" Target="webSettings.xml"/><Relationship Id="rId9" Type="http://schemas.openxmlformats.org/officeDocument/2006/relationships/hyperlink" Target="https://www.sigmaaldrich.com/catalog/search?term=127-17-3&amp;interface=CAS%20No.&amp;N=0&amp;mode=partialmax&amp;lang=de&amp;region=DE&amp;focus=produc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6590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Rudolf</dc:creator>
  <cp:keywords/>
  <dc:description/>
  <cp:lastModifiedBy>Johannes Delp</cp:lastModifiedBy>
  <cp:revision>13</cp:revision>
  <dcterms:created xsi:type="dcterms:W3CDTF">2018-09-13T15:05:00Z</dcterms:created>
  <dcterms:modified xsi:type="dcterms:W3CDTF">2019-01-11T17:04:00Z</dcterms:modified>
</cp:coreProperties>
</file>