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6F8" w:rsidRPr="00997DE9" w:rsidRDefault="00C33254">
      <w:pPr>
        <w:rPr>
          <w:b/>
          <w:color w:val="44546A" w:themeColor="text2"/>
          <w:sz w:val="32"/>
          <w:lang w:val="en-US"/>
        </w:rPr>
      </w:pPr>
      <w:r>
        <w:rPr>
          <w:b/>
          <w:color w:val="44546A" w:themeColor="text2"/>
          <w:sz w:val="32"/>
          <w:lang w:val="en-US"/>
        </w:rPr>
        <w:t>M</w:t>
      </w:r>
      <w:r w:rsidR="005616F8" w:rsidRPr="00997DE9">
        <w:rPr>
          <w:b/>
          <w:color w:val="44546A" w:themeColor="text2"/>
          <w:sz w:val="32"/>
          <w:lang w:val="en-US"/>
        </w:rPr>
        <w:t xml:space="preserve">itochondrial </w:t>
      </w:r>
      <w:r>
        <w:rPr>
          <w:b/>
          <w:color w:val="44546A" w:themeColor="text2"/>
          <w:sz w:val="32"/>
          <w:lang w:val="en-US"/>
        </w:rPr>
        <w:t>stress test using</w:t>
      </w:r>
      <w:r w:rsidR="00F270E5" w:rsidRPr="00997DE9">
        <w:rPr>
          <w:b/>
          <w:color w:val="44546A" w:themeColor="text2"/>
          <w:sz w:val="32"/>
          <w:lang w:val="en-US"/>
        </w:rPr>
        <w:t xml:space="preserve"> </w:t>
      </w:r>
      <w:r w:rsidR="005616F8" w:rsidRPr="00997DE9">
        <w:rPr>
          <w:b/>
          <w:color w:val="44546A" w:themeColor="text2"/>
          <w:sz w:val="32"/>
          <w:lang w:val="en-US"/>
        </w:rPr>
        <w:t>L</w:t>
      </w:r>
      <w:r w:rsidR="00F270E5" w:rsidRPr="00997DE9">
        <w:rPr>
          <w:b/>
          <w:color w:val="44546A" w:themeColor="text2"/>
          <w:sz w:val="32"/>
          <w:lang w:val="en-US"/>
        </w:rPr>
        <w:t>UHMES</w:t>
      </w:r>
      <w:r w:rsidR="005616F8" w:rsidRPr="00997DE9">
        <w:rPr>
          <w:b/>
          <w:color w:val="44546A" w:themeColor="text2"/>
          <w:sz w:val="32"/>
          <w:lang w:val="en-US"/>
        </w:rPr>
        <w:t xml:space="preserve"> cells</w:t>
      </w:r>
    </w:p>
    <w:p w:rsidR="005616F8" w:rsidRPr="00997DE9" w:rsidRDefault="005616F8" w:rsidP="005616F8">
      <w:pPr>
        <w:rPr>
          <w:lang w:val="en-US"/>
        </w:rPr>
      </w:pPr>
    </w:p>
    <w:p w:rsidR="00F270E5" w:rsidRPr="00997DE9" w:rsidRDefault="00F270E5" w:rsidP="00F270E5">
      <w:pPr>
        <w:pStyle w:val="0"/>
      </w:pPr>
      <w:r w:rsidRPr="00997DE9">
        <w:t>Introduction</w:t>
      </w:r>
    </w:p>
    <w:p w:rsidR="00F270E5" w:rsidRPr="00997DE9" w:rsidRDefault="00F270E5" w:rsidP="0031523F">
      <w:pPr>
        <w:pStyle w:val="1"/>
      </w:pPr>
      <w:r w:rsidRPr="00997DE9">
        <w:t>Aim</w:t>
      </w:r>
    </w:p>
    <w:p w:rsidR="00F270E5" w:rsidRPr="00997DE9" w:rsidRDefault="00F270E5" w:rsidP="00013F3D">
      <w:pPr>
        <w:rPr>
          <w:lang w:val="en-US"/>
        </w:rPr>
      </w:pPr>
      <w:r w:rsidRPr="00997DE9">
        <w:rPr>
          <w:lang w:val="en-US"/>
        </w:rPr>
        <w:t xml:space="preserve">This protocol describes the analysis of how to assess the </w:t>
      </w:r>
      <w:r w:rsidR="00C33254">
        <w:rPr>
          <w:lang w:val="en-US"/>
        </w:rPr>
        <w:t xml:space="preserve">utilized and spare mitochondrial </w:t>
      </w:r>
      <w:r w:rsidRPr="00997DE9">
        <w:rPr>
          <w:lang w:val="en-US"/>
        </w:rPr>
        <w:t xml:space="preserve">activity </w:t>
      </w:r>
      <w:r w:rsidR="00C33254">
        <w:rPr>
          <w:lang w:val="en-US"/>
        </w:rPr>
        <w:t xml:space="preserve">of </w:t>
      </w:r>
      <w:r w:rsidRPr="00997DE9">
        <w:rPr>
          <w:lang w:val="en-US"/>
        </w:rPr>
        <w:t xml:space="preserve">LUHMES cells (human neuronal). </w:t>
      </w:r>
    </w:p>
    <w:p w:rsidR="00F270E5" w:rsidRPr="00997DE9" w:rsidRDefault="00F270E5" w:rsidP="0031523F">
      <w:pPr>
        <w:pStyle w:val="1"/>
      </w:pPr>
      <w:r w:rsidRPr="00997DE9">
        <w:t>Purpose</w:t>
      </w:r>
    </w:p>
    <w:p w:rsidR="00F270E5" w:rsidRPr="00997DE9" w:rsidRDefault="00F270E5" w:rsidP="00F270E5">
      <w:pPr>
        <w:rPr>
          <w:lang w:val="en-US"/>
        </w:rPr>
      </w:pPr>
      <w:r w:rsidRPr="00997DE9">
        <w:rPr>
          <w:lang w:val="en-US"/>
        </w:rPr>
        <w:t xml:space="preserve">Many toxic </w:t>
      </w:r>
      <w:r w:rsidR="00C33254">
        <w:rPr>
          <w:lang w:val="en-US"/>
        </w:rPr>
        <w:t>substances impair</w:t>
      </w:r>
      <w:r w:rsidRPr="00997DE9">
        <w:rPr>
          <w:lang w:val="en-US"/>
        </w:rPr>
        <w:t xml:space="preserve"> mitochondrial function. Also many compounds in research for pharmaceutical use inherit mitochondrial off-target effects. This assays aims to identify direct </w:t>
      </w:r>
      <w:r w:rsidR="00C33254">
        <w:rPr>
          <w:lang w:val="en-US"/>
        </w:rPr>
        <w:t xml:space="preserve">or indirect </w:t>
      </w:r>
      <w:r w:rsidRPr="00997DE9">
        <w:rPr>
          <w:lang w:val="en-US"/>
        </w:rPr>
        <w:t>i</w:t>
      </w:r>
      <w:r w:rsidR="00C33254">
        <w:rPr>
          <w:lang w:val="en-US"/>
        </w:rPr>
        <w:t>mpairment</w:t>
      </w:r>
      <w:r w:rsidRPr="00997DE9">
        <w:rPr>
          <w:lang w:val="en-US"/>
        </w:rPr>
        <w:t xml:space="preserve"> of </w:t>
      </w:r>
      <w:r w:rsidR="00C33254">
        <w:rPr>
          <w:lang w:val="en-US"/>
        </w:rPr>
        <w:t>mitochondrial function</w:t>
      </w:r>
      <w:r w:rsidRPr="00997DE9">
        <w:rPr>
          <w:lang w:val="en-US"/>
        </w:rPr>
        <w:t>.</w:t>
      </w:r>
    </w:p>
    <w:p w:rsidR="00F270E5" w:rsidRPr="00997DE9" w:rsidRDefault="00F270E5" w:rsidP="0031523F">
      <w:pPr>
        <w:pStyle w:val="1"/>
      </w:pPr>
      <w:r w:rsidRPr="00997DE9">
        <w:t>Limitations</w:t>
      </w:r>
    </w:p>
    <w:p w:rsidR="00F270E5" w:rsidRPr="00997DE9" w:rsidRDefault="00C33254" w:rsidP="00F270E5">
      <w:pPr>
        <w:rPr>
          <w:lang w:val="en-US"/>
        </w:rPr>
      </w:pPr>
      <w:r>
        <w:rPr>
          <w:lang w:val="en-US"/>
        </w:rPr>
        <w:t>This assay asses only the mitochondrial and non-mitochondrial oxygen consumption, but gives not directly an explanation why these parameters might be impaired. E.g. mitochondrial pyruvate uptake inhibitors might result in the same reduction in oxygen consumption as complex I inhibitors. Additionally, redox cyclers might result in the same increased oxygen consumption as mitochondrial uncouplers. Therefore follow-up experiments might be needed.</w:t>
      </w:r>
    </w:p>
    <w:p w:rsidR="00F270E5" w:rsidRPr="00997DE9" w:rsidRDefault="00F270E5" w:rsidP="0031523F">
      <w:pPr>
        <w:pStyle w:val="1"/>
      </w:pPr>
      <w:r w:rsidRPr="00997DE9">
        <w:t>Method outline</w:t>
      </w:r>
    </w:p>
    <w:p w:rsidR="00C33254" w:rsidRDefault="00F270E5" w:rsidP="00F270E5">
      <w:pPr>
        <w:rPr>
          <w:lang w:val="en-US"/>
        </w:rPr>
      </w:pPr>
      <w:r w:rsidRPr="00997DE9">
        <w:rPr>
          <w:lang w:val="en-US"/>
        </w:rPr>
        <w:t xml:space="preserve">Cells </w:t>
      </w:r>
      <w:r w:rsidR="00C33254">
        <w:rPr>
          <w:lang w:val="en-US"/>
        </w:rPr>
        <w:t>are cultured in Seahorse assay plates (100,000 cells per well in 24 well plates) and allowed to equilibrate to their environment. At the day of the assay, their normal cell culture medium gets replaced by Seahorse assay medium, supplemented with pyruvate (1 mM), glucose (18 mM), glutamine (2 mM), N2 supplement (1x) and tetracycline (2.25 µM) 1 h prior to the assay.</w:t>
      </w:r>
    </w:p>
    <w:p w:rsidR="00C33254" w:rsidRDefault="00C33254" w:rsidP="00F270E5">
      <w:pPr>
        <w:rPr>
          <w:lang w:val="en-US"/>
        </w:rPr>
      </w:pPr>
      <w:r>
        <w:rPr>
          <w:lang w:val="en-US"/>
        </w:rPr>
        <w:t xml:space="preserve">Then the Agilent Seahorse </w:t>
      </w:r>
      <w:proofErr w:type="spellStart"/>
      <w:r>
        <w:rPr>
          <w:lang w:val="en-US"/>
        </w:rPr>
        <w:t>Mitostress</w:t>
      </w:r>
      <w:proofErr w:type="spellEnd"/>
      <w:r>
        <w:rPr>
          <w:lang w:val="en-US"/>
        </w:rPr>
        <w:t xml:space="preserve"> test is performed according to the manufacturer’s recommendation. Port A is used for the injection of the compound of interest or the solvent control, while ports B-D are used for oligomycin, FCCP and rotenone/antimycin a, respectively.</w:t>
      </w:r>
    </w:p>
    <w:p w:rsidR="00F270E5" w:rsidRPr="00997DE9" w:rsidRDefault="00F270E5" w:rsidP="00F270E5">
      <w:pPr>
        <w:rPr>
          <w:lang w:val="en-US"/>
        </w:rPr>
      </w:pPr>
      <w:r w:rsidRPr="00997DE9">
        <w:rPr>
          <w:lang w:val="en-US"/>
        </w:rPr>
        <w:t xml:space="preserve">Finally, </w:t>
      </w:r>
      <w:r w:rsidR="00C33254">
        <w:rPr>
          <w:lang w:val="en-US"/>
        </w:rPr>
        <w:t>mitochondrial oxygen consumption</w:t>
      </w:r>
      <w:r w:rsidRPr="00997DE9">
        <w:rPr>
          <w:lang w:val="en-US"/>
        </w:rPr>
        <w:t xml:space="preserve"> is analyzed simultaneously in treated samples relative to solvent control samples, based on the oxygen consum</w:t>
      </w:r>
      <w:r w:rsidR="00C33254">
        <w:rPr>
          <w:lang w:val="en-US"/>
        </w:rPr>
        <w:t>ption using the Seahorse device, as the manufacturer recommends.</w:t>
      </w:r>
    </w:p>
    <w:p w:rsidR="0031523F" w:rsidRPr="00997DE9" w:rsidRDefault="0031523F">
      <w:pPr>
        <w:jc w:val="left"/>
        <w:rPr>
          <w:b/>
          <w:color w:val="70AD47" w:themeColor="accent6"/>
          <w:sz w:val="28"/>
          <w:lang w:val="en-US"/>
        </w:rPr>
      </w:pPr>
      <w:r w:rsidRPr="00997DE9">
        <w:rPr>
          <w:lang w:val="en-US"/>
        </w:rPr>
        <w:br w:type="page"/>
      </w:r>
    </w:p>
    <w:p w:rsidR="00F270E5" w:rsidRPr="00997DE9" w:rsidRDefault="00F270E5" w:rsidP="00F270E5">
      <w:pPr>
        <w:pStyle w:val="0"/>
      </w:pPr>
      <w:r w:rsidRPr="00997DE9">
        <w:lastRenderedPageBreak/>
        <w:t>Method description</w:t>
      </w:r>
    </w:p>
    <w:p w:rsidR="0031523F" w:rsidRPr="00997DE9" w:rsidRDefault="0031523F" w:rsidP="0031523F">
      <w:pPr>
        <w:pStyle w:val="1"/>
      </w:pPr>
      <w:r w:rsidRPr="00997DE9">
        <w:t>Chemicals and buffers</w:t>
      </w:r>
    </w:p>
    <w:p w:rsidR="0031523F" w:rsidRDefault="0090292D" w:rsidP="0031523F">
      <w:pPr>
        <w:rPr>
          <w:lang w:val="en-US"/>
        </w:rPr>
      </w:pPr>
      <w:r>
        <w:rPr>
          <w:lang w:val="en-US"/>
        </w:rPr>
        <w:t xml:space="preserve">Agilent Seahorse </w:t>
      </w:r>
      <w:proofErr w:type="spellStart"/>
      <w:r>
        <w:rPr>
          <w:lang w:val="en-US"/>
        </w:rPr>
        <w:t>Mitostress</w:t>
      </w:r>
      <w:proofErr w:type="spellEnd"/>
      <w:r>
        <w:rPr>
          <w:lang w:val="en-US"/>
        </w:rPr>
        <w:t xml:space="preserve"> test:</w:t>
      </w:r>
    </w:p>
    <w:p w:rsidR="0090292D" w:rsidRDefault="0090292D" w:rsidP="0090292D">
      <w:pPr>
        <w:ind w:left="708"/>
        <w:rPr>
          <w:lang w:val="en-US"/>
        </w:rPr>
      </w:pPr>
      <w:r>
        <w:rPr>
          <w:lang w:val="en-US"/>
        </w:rPr>
        <w:t>Oligomycin: final concentration on cells is 1 µM</w:t>
      </w:r>
    </w:p>
    <w:p w:rsidR="0090292D" w:rsidRDefault="0090292D" w:rsidP="0090292D">
      <w:pPr>
        <w:ind w:left="708"/>
        <w:rPr>
          <w:lang w:val="en-US"/>
        </w:rPr>
      </w:pPr>
      <w:r>
        <w:rPr>
          <w:lang w:val="en-US"/>
        </w:rPr>
        <w:t>FCCP: final concentration on cells is 1.5 µM</w:t>
      </w:r>
    </w:p>
    <w:p w:rsidR="0090292D" w:rsidRPr="00997DE9" w:rsidRDefault="0090292D" w:rsidP="0090292D">
      <w:pPr>
        <w:ind w:left="708"/>
        <w:rPr>
          <w:lang w:val="en-US"/>
        </w:rPr>
      </w:pPr>
      <w:r>
        <w:rPr>
          <w:lang w:val="en-US"/>
        </w:rPr>
        <w:t>Rotenone/antimycin A: final concentration on cells is 0.5/0.5 µM</w:t>
      </w:r>
    </w:p>
    <w:p w:rsidR="0090292D" w:rsidRDefault="0090292D" w:rsidP="0031523F">
      <w:pPr>
        <w:rPr>
          <w:lang w:val="en-US"/>
        </w:rPr>
      </w:pPr>
      <w:r>
        <w:rPr>
          <w:lang w:val="en-US"/>
        </w:rPr>
        <w:t>Agilent Seahorse basal DMEM</w:t>
      </w:r>
    </w:p>
    <w:p w:rsidR="0090292D" w:rsidRPr="00997DE9" w:rsidRDefault="0090292D" w:rsidP="0031523F">
      <w:pPr>
        <w:rPr>
          <w:lang w:val="en-US"/>
        </w:rPr>
      </w:pPr>
      <w:r>
        <w:rPr>
          <w:lang w:val="en-US"/>
        </w:rPr>
        <w:t>Glucose, pyruvate, glutamine, N2 supplement and tetracycline</w:t>
      </w:r>
    </w:p>
    <w:p w:rsidR="005616F8" w:rsidRPr="00997DE9" w:rsidRDefault="005616F8" w:rsidP="0031523F">
      <w:pPr>
        <w:pStyle w:val="1"/>
      </w:pPr>
      <w:r w:rsidRPr="00997DE9">
        <w:t>Preparation upfront</w:t>
      </w:r>
    </w:p>
    <w:p w:rsidR="005616F8" w:rsidRPr="00997DE9" w:rsidRDefault="005616F8" w:rsidP="005616F8">
      <w:pPr>
        <w:pStyle w:val="Listenabsatz"/>
        <w:numPr>
          <w:ilvl w:val="0"/>
          <w:numId w:val="3"/>
        </w:numPr>
        <w:rPr>
          <w:lang w:val="en-US"/>
        </w:rPr>
      </w:pPr>
      <w:r w:rsidRPr="00997DE9">
        <w:rPr>
          <w:lang w:val="en-US"/>
        </w:rPr>
        <w:t xml:space="preserve">Hydrate </w:t>
      </w:r>
      <w:r w:rsidR="00F270E5" w:rsidRPr="00997DE9">
        <w:rPr>
          <w:lang w:val="en-US"/>
        </w:rPr>
        <w:t xml:space="preserve">seahorse </w:t>
      </w:r>
      <w:r w:rsidRPr="00997DE9">
        <w:rPr>
          <w:lang w:val="en-US"/>
        </w:rPr>
        <w:t>cartridge</w:t>
      </w:r>
    </w:p>
    <w:p w:rsidR="005616F8" w:rsidRPr="00997DE9" w:rsidRDefault="005616F8" w:rsidP="005616F8">
      <w:pPr>
        <w:pStyle w:val="Listenabsatz"/>
        <w:numPr>
          <w:ilvl w:val="0"/>
          <w:numId w:val="3"/>
        </w:numPr>
        <w:rPr>
          <w:lang w:val="en-US"/>
        </w:rPr>
      </w:pPr>
      <w:r w:rsidRPr="00997DE9">
        <w:rPr>
          <w:lang w:val="en-US"/>
        </w:rPr>
        <w:t xml:space="preserve">Have cells </w:t>
      </w:r>
      <w:r w:rsidR="0031523F" w:rsidRPr="00997DE9">
        <w:rPr>
          <w:lang w:val="en-US"/>
        </w:rPr>
        <w:t xml:space="preserve">at in coated </w:t>
      </w:r>
      <w:r w:rsidR="0031523F" w:rsidRPr="00997DE9">
        <w:rPr>
          <w:lang w:val="en-US"/>
        </w:rPr>
        <w:t>(normal PLO/fibronectin</w:t>
      </w:r>
      <w:r w:rsidR="0031523F" w:rsidRPr="00997DE9">
        <w:rPr>
          <w:lang w:val="en-US"/>
        </w:rPr>
        <w:t xml:space="preserve"> LUHMES coating</w:t>
      </w:r>
      <w:r w:rsidR="0031523F" w:rsidRPr="00997DE9">
        <w:rPr>
          <w:lang w:val="en-US"/>
        </w:rPr>
        <w:t>, optionally with additional laminin)</w:t>
      </w:r>
      <w:r w:rsidR="0031523F" w:rsidRPr="00997DE9">
        <w:rPr>
          <w:lang w:val="en-US"/>
        </w:rPr>
        <w:t xml:space="preserve"> Seahorse plates ready, cultured at least 18 h in these plates for equilibration</w:t>
      </w:r>
    </w:p>
    <w:p w:rsidR="00F270E5" w:rsidRPr="00997DE9" w:rsidRDefault="00A65A38" w:rsidP="00F270E5">
      <w:pPr>
        <w:pStyle w:val="Listenabsatz"/>
        <w:numPr>
          <w:ilvl w:val="0"/>
          <w:numId w:val="3"/>
        </w:numPr>
        <w:rPr>
          <w:lang w:val="en-US"/>
        </w:rPr>
      </w:pPr>
      <w:r w:rsidRPr="00997DE9">
        <w:rPr>
          <w:lang w:val="en-US"/>
        </w:rPr>
        <w:t>Substrates and tool compounds</w:t>
      </w:r>
    </w:p>
    <w:p w:rsidR="000404B3" w:rsidRPr="00997DE9" w:rsidRDefault="005616F8" w:rsidP="0031523F">
      <w:pPr>
        <w:pStyle w:val="1"/>
      </w:pPr>
      <w:r w:rsidRPr="00997DE9">
        <w:t>Experimental p</w:t>
      </w:r>
      <w:r w:rsidR="003F26DB" w:rsidRPr="00997DE9">
        <w:t>rocedure</w:t>
      </w:r>
    </w:p>
    <w:p w:rsidR="0090292D" w:rsidRDefault="00C76105" w:rsidP="00013F3D">
      <w:pPr>
        <w:pStyle w:val="standard2"/>
        <w:spacing w:line="276" w:lineRule="auto"/>
      </w:pPr>
      <w:r>
        <w:t>Change the normal cell culture medium to the assay medium, place the plate in a 37°C non-CO2 incubator for at least 1 h before the start of the experiment</w:t>
      </w:r>
    </w:p>
    <w:p w:rsidR="00C76105" w:rsidRDefault="00C76105" w:rsidP="00013F3D">
      <w:pPr>
        <w:pStyle w:val="standard2"/>
        <w:spacing w:line="276" w:lineRule="auto"/>
      </w:pPr>
      <w:r>
        <w:t xml:space="preserve">Prepare the cartridge with the compounds solutions (10x solution in </w:t>
      </w:r>
      <w:r w:rsidRPr="00997DE9">
        <w:t>ports A/B/C/D, 56 µl/62 µl/69 µl/77 µl</w:t>
      </w:r>
      <w:r>
        <w:t>,</w:t>
      </w:r>
      <w:r w:rsidRPr="00997DE9">
        <w:t xml:space="preserve"> respectively</w:t>
      </w:r>
      <w:r>
        <w:t xml:space="preserve">), incubate </w:t>
      </w:r>
      <w:r>
        <w:t>in a 37°C non-CO2 incubator for at least 1 h before the start of the experiment</w:t>
      </w:r>
    </w:p>
    <w:p w:rsidR="00C76105" w:rsidRDefault="00C76105" w:rsidP="00013F3D">
      <w:pPr>
        <w:pStyle w:val="standard2"/>
        <w:spacing w:line="276" w:lineRule="auto"/>
      </w:pPr>
      <w:r>
        <w:t>Set up the Seahorse analyzer and the measurement program, use mix/wait/measure times of 3/2/3 minutes, respectively. Enable “calibrate” and “equilibrate”</w:t>
      </w:r>
    </w:p>
    <w:p w:rsidR="0076221B" w:rsidRPr="00997DE9" w:rsidRDefault="00C76105" w:rsidP="00C76105">
      <w:pPr>
        <w:pStyle w:val="standard2"/>
        <w:spacing w:line="276" w:lineRule="auto"/>
      </w:pPr>
      <w:r>
        <w:t>Calibrate the cartridge and when the instrument is ready, t</w:t>
      </w:r>
      <w:r w:rsidR="004D3481" w:rsidRPr="00997DE9">
        <w:t xml:space="preserve">he utility plate </w:t>
      </w:r>
      <w:r>
        <w:t>is removed from the analyzer and,</w:t>
      </w:r>
      <w:r w:rsidR="00A65A38" w:rsidRPr="00997DE9">
        <w:t xml:space="preserve"> while the cartridge rem</w:t>
      </w:r>
      <w:r w:rsidR="004D3481" w:rsidRPr="00997DE9">
        <w:t>ain</w:t>
      </w:r>
      <w:r w:rsidR="002465D0" w:rsidRPr="00997DE9">
        <w:t>ed</w:t>
      </w:r>
      <w:r w:rsidR="004D3481" w:rsidRPr="00997DE9">
        <w:t xml:space="preserve"> in the instrument.</w:t>
      </w:r>
    </w:p>
    <w:p w:rsidR="001330A5" w:rsidRPr="00997DE9" w:rsidRDefault="00264174" w:rsidP="00013F3D">
      <w:pPr>
        <w:pStyle w:val="standard2"/>
        <w:spacing w:line="276" w:lineRule="auto"/>
      </w:pPr>
      <w:r w:rsidRPr="00997DE9">
        <w:t>Finally,</w:t>
      </w:r>
      <w:r w:rsidR="00D304E2" w:rsidRPr="00997DE9">
        <w:t xml:space="preserve"> the cell culture plate </w:t>
      </w:r>
      <w:r w:rsidR="002465D0" w:rsidRPr="00997DE9">
        <w:t>was</w:t>
      </w:r>
      <w:r w:rsidR="00D304E2" w:rsidRPr="00997DE9">
        <w:t xml:space="preserve"> inserted into the XF analyzer</w:t>
      </w:r>
      <w:r w:rsidR="00E400BD" w:rsidRPr="00997DE9">
        <w:t xml:space="preserve"> and the assay </w:t>
      </w:r>
      <w:r w:rsidR="002465D0" w:rsidRPr="00997DE9">
        <w:t xml:space="preserve">was </w:t>
      </w:r>
      <w:r w:rsidR="00E400BD" w:rsidRPr="00997DE9">
        <w:t>started.</w:t>
      </w:r>
    </w:p>
    <w:p w:rsidR="00F270E5" w:rsidRPr="00997DE9" w:rsidRDefault="002465D0" w:rsidP="002465D0">
      <w:pPr>
        <w:pStyle w:val="1"/>
      </w:pPr>
      <w:r w:rsidRPr="00997DE9">
        <w:t>Data analysis</w:t>
      </w:r>
    </w:p>
    <w:p w:rsidR="002465D0" w:rsidRPr="00997DE9" w:rsidRDefault="002465D0" w:rsidP="00013F3D">
      <w:pPr>
        <w:pStyle w:val="Listenabsatz"/>
        <w:numPr>
          <w:ilvl w:val="0"/>
          <w:numId w:val="3"/>
        </w:numPr>
        <w:rPr>
          <w:lang w:val="en-US"/>
        </w:rPr>
      </w:pPr>
      <w:r w:rsidRPr="00997DE9">
        <w:rPr>
          <w:lang w:val="en-US"/>
        </w:rPr>
        <w:t>Each experiment has to contain control treated (solvent) samples</w:t>
      </w:r>
    </w:p>
    <w:p w:rsidR="002465D0" w:rsidRPr="00997DE9" w:rsidRDefault="002465D0" w:rsidP="00013F3D">
      <w:pPr>
        <w:pStyle w:val="Listenabsatz"/>
        <w:numPr>
          <w:ilvl w:val="0"/>
          <w:numId w:val="3"/>
        </w:numPr>
        <w:rPr>
          <w:lang w:val="en-US"/>
        </w:rPr>
      </w:pPr>
      <w:r w:rsidRPr="00997DE9">
        <w:rPr>
          <w:lang w:val="en-US"/>
        </w:rPr>
        <w:t>Oxygen levels have to be checked before deeper data analysis (mmO2, not OCR!)</w:t>
      </w:r>
    </w:p>
    <w:p w:rsidR="002465D0" w:rsidRPr="00997DE9" w:rsidRDefault="002465D0" w:rsidP="00013F3D">
      <w:pPr>
        <w:pStyle w:val="Listenabsatz"/>
        <w:numPr>
          <w:ilvl w:val="0"/>
          <w:numId w:val="3"/>
        </w:numPr>
        <w:rPr>
          <w:lang w:val="en-US"/>
        </w:rPr>
      </w:pPr>
      <w:r w:rsidRPr="00997DE9">
        <w:rPr>
          <w:lang w:val="en-US"/>
        </w:rPr>
        <w:t>If oxygen doesn’t get depleted, the data can be analyzed.</w:t>
      </w:r>
    </w:p>
    <w:p w:rsidR="002465D0" w:rsidRPr="00997DE9" w:rsidRDefault="002465D0" w:rsidP="00013F3D">
      <w:pPr>
        <w:pStyle w:val="Listenabsatz"/>
        <w:numPr>
          <w:ilvl w:val="0"/>
          <w:numId w:val="3"/>
        </w:numPr>
        <w:rPr>
          <w:lang w:val="en-US"/>
        </w:rPr>
      </w:pPr>
      <w:r w:rsidRPr="00997DE9">
        <w:rPr>
          <w:lang w:val="en-US"/>
        </w:rPr>
        <w:t>First, basal respiration of all wells gets normalized to the last measurement value before compound injection via port A</w:t>
      </w:r>
    </w:p>
    <w:p w:rsidR="002465D0" w:rsidRPr="00997DE9" w:rsidRDefault="002465D0" w:rsidP="00013F3D">
      <w:pPr>
        <w:pStyle w:val="Listenabsatz"/>
        <w:numPr>
          <w:ilvl w:val="0"/>
          <w:numId w:val="3"/>
        </w:numPr>
        <w:rPr>
          <w:lang w:val="en-US"/>
        </w:rPr>
      </w:pPr>
      <w:r w:rsidRPr="00997DE9">
        <w:rPr>
          <w:lang w:val="en-US"/>
        </w:rPr>
        <w:t>Then the oxygen consumption rate of the first measurement cycle</w:t>
      </w:r>
      <w:r w:rsidR="00C76105">
        <w:rPr>
          <w:lang w:val="en-US"/>
        </w:rPr>
        <w:t xml:space="preserve"> after each tool</w:t>
      </w:r>
      <w:r w:rsidRPr="00997DE9">
        <w:rPr>
          <w:lang w:val="en-US"/>
        </w:rPr>
        <w:t xml:space="preserve"> inhibitor injection undergoes comparison. Inhibition results in OCR values smaller in treated samples than in control samples, uncoupling vice versa.</w:t>
      </w:r>
    </w:p>
    <w:p w:rsidR="002465D0" w:rsidRPr="00997DE9" w:rsidRDefault="002465D0" w:rsidP="00013F3D">
      <w:pPr>
        <w:pStyle w:val="Listenabsatz"/>
        <w:numPr>
          <w:ilvl w:val="0"/>
          <w:numId w:val="3"/>
        </w:numPr>
        <w:rPr>
          <w:lang w:val="en-US"/>
        </w:rPr>
      </w:pPr>
      <w:r w:rsidRPr="00997DE9">
        <w:rPr>
          <w:lang w:val="en-US"/>
        </w:rPr>
        <w:t>Compound effects are expressed as percent inhibition relative to control</w:t>
      </w:r>
    </w:p>
    <w:p w:rsidR="002465D0" w:rsidRPr="00997DE9" w:rsidRDefault="00C76105" w:rsidP="00013F3D">
      <w:pPr>
        <w:pStyle w:val="Listenabsatz"/>
        <w:numPr>
          <w:ilvl w:val="0"/>
          <w:numId w:val="3"/>
        </w:numPr>
        <w:rPr>
          <w:lang w:val="en-US"/>
        </w:rPr>
      </w:pPr>
      <w:r>
        <w:rPr>
          <w:lang w:val="en-US"/>
        </w:rPr>
        <w:t>The manufacture’s Excel sheets were used for data analysis.</w:t>
      </w:r>
      <w:bookmarkStart w:id="0" w:name="_GoBack"/>
      <w:bookmarkEnd w:id="0"/>
    </w:p>
    <w:p w:rsidR="002465D0" w:rsidRPr="00997DE9" w:rsidRDefault="002465D0" w:rsidP="00F270E5">
      <w:pPr>
        <w:rPr>
          <w:lang w:val="en-US"/>
        </w:rPr>
      </w:pPr>
    </w:p>
    <w:p w:rsidR="00F270E5" w:rsidRPr="00997DE9" w:rsidRDefault="00F270E5" w:rsidP="00F270E5">
      <w:pPr>
        <w:rPr>
          <w:lang w:val="en-US"/>
        </w:rPr>
      </w:pPr>
    </w:p>
    <w:sectPr w:rsidR="00F270E5" w:rsidRPr="00997D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F4EFE"/>
    <w:multiLevelType w:val="hybridMultilevel"/>
    <w:tmpl w:val="309055A6"/>
    <w:lvl w:ilvl="0" w:tplc="19D8F7B2">
      <w:start w:val="1"/>
      <w:numFmt w:val="decimal"/>
      <w:pStyle w:val="standard2"/>
      <w:lvlText w:val="%1."/>
      <w:lvlJc w:val="left"/>
      <w:pPr>
        <w:ind w:left="363" w:hanging="360"/>
      </w:pPr>
      <w:rPr>
        <w:rFonts w:hint="default"/>
      </w:rPr>
    </w:lvl>
    <w:lvl w:ilvl="1" w:tplc="04070019" w:tentative="1">
      <w:start w:val="1"/>
      <w:numFmt w:val="lowerLetter"/>
      <w:lvlText w:val="%2."/>
      <w:lvlJc w:val="left"/>
      <w:pPr>
        <w:ind w:left="1083" w:hanging="360"/>
      </w:pPr>
    </w:lvl>
    <w:lvl w:ilvl="2" w:tplc="0407001B" w:tentative="1">
      <w:start w:val="1"/>
      <w:numFmt w:val="lowerRoman"/>
      <w:lvlText w:val="%3."/>
      <w:lvlJc w:val="right"/>
      <w:pPr>
        <w:ind w:left="1803" w:hanging="180"/>
      </w:pPr>
    </w:lvl>
    <w:lvl w:ilvl="3" w:tplc="0407000F" w:tentative="1">
      <w:start w:val="1"/>
      <w:numFmt w:val="decimal"/>
      <w:lvlText w:val="%4."/>
      <w:lvlJc w:val="left"/>
      <w:pPr>
        <w:ind w:left="2523" w:hanging="360"/>
      </w:pPr>
    </w:lvl>
    <w:lvl w:ilvl="4" w:tplc="04070019" w:tentative="1">
      <w:start w:val="1"/>
      <w:numFmt w:val="lowerLetter"/>
      <w:lvlText w:val="%5."/>
      <w:lvlJc w:val="left"/>
      <w:pPr>
        <w:ind w:left="3243" w:hanging="360"/>
      </w:pPr>
    </w:lvl>
    <w:lvl w:ilvl="5" w:tplc="0407001B" w:tentative="1">
      <w:start w:val="1"/>
      <w:numFmt w:val="lowerRoman"/>
      <w:lvlText w:val="%6."/>
      <w:lvlJc w:val="right"/>
      <w:pPr>
        <w:ind w:left="3963" w:hanging="180"/>
      </w:pPr>
    </w:lvl>
    <w:lvl w:ilvl="6" w:tplc="0407000F" w:tentative="1">
      <w:start w:val="1"/>
      <w:numFmt w:val="decimal"/>
      <w:lvlText w:val="%7."/>
      <w:lvlJc w:val="left"/>
      <w:pPr>
        <w:ind w:left="4683" w:hanging="360"/>
      </w:pPr>
    </w:lvl>
    <w:lvl w:ilvl="7" w:tplc="04070019" w:tentative="1">
      <w:start w:val="1"/>
      <w:numFmt w:val="lowerLetter"/>
      <w:lvlText w:val="%8."/>
      <w:lvlJc w:val="left"/>
      <w:pPr>
        <w:ind w:left="5403" w:hanging="360"/>
      </w:pPr>
    </w:lvl>
    <w:lvl w:ilvl="8" w:tplc="0407001B" w:tentative="1">
      <w:start w:val="1"/>
      <w:numFmt w:val="lowerRoman"/>
      <w:lvlText w:val="%9."/>
      <w:lvlJc w:val="right"/>
      <w:pPr>
        <w:ind w:left="6123" w:hanging="180"/>
      </w:pPr>
    </w:lvl>
  </w:abstractNum>
  <w:abstractNum w:abstractNumId="1" w15:restartNumberingAfterBreak="0">
    <w:nsid w:val="26FC5DDF"/>
    <w:multiLevelType w:val="hybridMultilevel"/>
    <w:tmpl w:val="17AEC21A"/>
    <w:lvl w:ilvl="0" w:tplc="92FA044C">
      <w:start w:val="1"/>
      <w:numFmt w:val="decimal"/>
      <w:pStyle w:val="1berschrif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7C63357"/>
    <w:multiLevelType w:val="hybridMultilevel"/>
    <w:tmpl w:val="FD24FF1A"/>
    <w:lvl w:ilvl="0" w:tplc="1856E86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DB"/>
    <w:rsid w:val="00013F3D"/>
    <w:rsid w:val="000404B3"/>
    <w:rsid w:val="001330A5"/>
    <w:rsid w:val="001454C2"/>
    <w:rsid w:val="001519A7"/>
    <w:rsid w:val="00151D55"/>
    <w:rsid w:val="002465D0"/>
    <w:rsid w:val="00253B4F"/>
    <w:rsid w:val="00264174"/>
    <w:rsid w:val="002E5190"/>
    <w:rsid w:val="0031523F"/>
    <w:rsid w:val="00317708"/>
    <w:rsid w:val="003D15D7"/>
    <w:rsid w:val="003F26DB"/>
    <w:rsid w:val="00437D43"/>
    <w:rsid w:val="00457F3B"/>
    <w:rsid w:val="00484E26"/>
    <w:rsid w:val="004A1222"/>
    <w:rsid w:val="004B24AB"/>
    <w:rsid w:val="004D3481"/>
    <w:rsid w:val="004E6F5E"/>
    <w:rsid w:val="005616F8"/>
    <w:rsid w:val="005E6E75"/>
    <w:rsid w:val="00674B4D"/>
    <w:rsid w:val="00697898"/>
    <w:rsid w:val="006D1864"/>
    <w:rsid w:val="0076221B"/>
    <w:rsid w:val="00840634"/>
    <w:rsid w:val="0090292D"/>
    <w:rsid w:val="009945A1"/>
    <w:rsid w:val="00997DE9"/>
    <w:rsid w:val="009E5AC2"/>
    <w:rsid w:val="00A65A38"/>
    <w:rsid w:val="00B12060"/>
    <w:rsid w:val="00B31144"/>
    <w:rsid w:val="00BC56E0"/>
    <w:rsid w:val="00BE201C"/>
    <w:rsid w:val="00C33254"/>
    <w:rsid w:val="00C602FE"/>
    <w:rsid w:val="00C76105"/>
    <w:rsid w:val="00D304E2"/>
    <w:rsid w:val="00D35594"/>
    <w:rsid w:val="00D768FB"/>
    <w:rsid w:val="00E400BD"/>
    <w:rsid w:val="00E5020C"/>
    <w:rsid w:val="00EC6A09"/>
    <w:rsid w:val="00ED4FD7"/>
    <w:rsid w:val="00EF275D"/>
    <w:rsid w:val="00F07FE4"/>
    <w:rsid w:val="00F270E5"/>
    <w:rsid w:val="00FE08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AF7A0-0ABD-4B97-ABDA-881487EB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13F3D"/>
    <w:pPr>
      <w:spacing w:line="276" w:lineRule="auto"/>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berschrift">
    <w:name w:val="1. Überschrift"/>
    <w:next w:val="Standard"/>
    <w:link w:val="1berschriftZchn"/>
    <w:autoRedefine/>
    <w:qFormat/>
    <w:rsid w:val="00674B4D"/>
    <w:pPr>
      <w:numPr>
        <w:numId w:val="1"/>
      </w:numPr>
    </w:pPr>
    <w:rPr>
      <w:rFonts w:asciiTheme="majorHAnsi" w:eastAsiaTheme="majorEastAsia" w:hAnsiTheme="majorHAnsi" w:cstheme="majorBidi"/>
      <w:b/>
      <w:color w:val="2F5496" w:themeColor="accent1" w:themeShade="BF"/>
      <w:sz w:val="36"/>
      <w:szCs w:val="32"/>
    </w:rPr>
  </w:style>
  <w:style w:type="character" w:customStyle="1" w:styleId="1berschriftZchn">
    <w:name w:val="1. Überschrift Zchn"/>
    <w:basedOn w:val="Absatz-Standardschriftart"/>
    <w:link w:val="1berschrift"/>
    <w:rsid w:val="00674B4D"/>
    <w:rPr>
      <w:rFonts w:asciiTheme="majorHAnsi" w:eastAsiaTheme="majorEastAsia" w:hAnsiTheme="majorHAnsi" w:cstheme="majorBidi"/>
      <w:b/>
      <w:color w:val="2F5496" w:themeColor="accent1" w:themeShade="BF"/>
      <w:sz w:val="36"/>
      <w:szCs w:val="32"/>
    </w:rPr>
  </w:style>
  <w:style w:type="paragraph" w:styleId="Listenabsatz">
    <w:name w:val="List Paragraph"/>
    <w:basedOn w:val="Standard"/>
    <w:link w:val="ListenabsatzZchn"/>
    <w:uiPriority w:val="34"/>
    <w:qFormat/>
    <w:rsid w:val="003D15D7"/>
    <w:pPr>
      <w:ind w:left="720"/>
      <w:contextualSpacing/>
    </w:pPr>
  </w:style>
  <w:style w:type="paragraph" w:customStyle="1" w:styleId="standard2">
    <w:name w:val="standard 2"/>
    <w:basedOn w:val="Listenabsatz"/>
    <w:link w:val="standard2Zchn"/>
    <w:qFormat/>
    <w:rsid w:val="00253B4F"/>
    <w:pPr>
      <w:numPr>
        <w:numId w:val="2"/>
      </w:numPr>
      <w:spacing w:line="360" w:lineRule="auto"/>
      <w:ind w:left="714" w:hanging="357"/>
    </w:pPr>
    <w:rPr>
      <w:lang w:val="en-US"/>
    </w:rPr>
  </w:style>
  <w:style w:type="character" w:customStyle="1" w:styleId="ListenabsatzZchn">
    <w:name w:val="Listenabsatz Zchn"/>
    <w:basedOn w:val="Absatz-Standardschriftart"/>
    <w:link w:val="Listenabsatz"/>
    <w:uiPriority w:val="34"/>
    <w:rsid w:val="00253B4F"/>
  </w:style>
  <w:style w:type="character" w:customStyle="1" w:styleId="standard2Zchn">
    <w:name w:val="standard 2 Zchn"/>
    <w:basedOn w:val="ListenabsatzZchn"/>
    <w:link w:val="standard2"/>
    <w:rsid w:val="00253B4F"/>
    <w:rPr>
      <w:lang w:val="en-US"/>
    </w:rPr>
  </w:style>
  <w:style w:type="paragraph" w:customStyle="1" w:styleId="1">
    <w:name w:val="Ü1"/>
    <w:basedOn w:val="Standard"/>
    <w:next w:val="Standard"/>
    <w:qFormat/>
    <w:rsid w:val="00F270E5"/>
    <w:rPr>
      <w:b/>
      <w:color w:val="4472C4" w:themeColor="accent1"/>
      <w:sz w:val="28"/>
      <w:lang w:val="en-US"/>
    </w:rPr>
  </w:style>
  <w:style w:type="paragraph" w:customStyle="1" w:styleId="0">
    <w:name w:val="Ü0"/>
    <w:basedOn w:val="1"/>
    <w:next w:val="Standard"/>
    <w:qFormat/>
    <w:rsid w:val="0031523F"/>
    <w:rPr>
      <w:color w:val="70AD47" w:themeColor="accent6"/>
      <w:sz w:val="32"/>
    </w:rPr>
  </w:style>
  <w:style w:type="paragraph" w:styleId="StandardWeb">
    <w:name w:val="Normal (Web)"/>
    <w:basedOn w:val="Standard"/>
    <w:uiPriority w:val="99"/>
    <w:unhideWhenUsed/>
    <w:rsid w:val="0031523F"/>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31523F"/>
    <w:rPr>
      <w:color w:val="0000FF"/>
      <w:u w:val="single"/>
    </w:rPr>
  </w:style>
  <w:style w:type="table" w:styleId="Gitternetztabelle1hellAkzent5">
    <w:name w:val="Grid Table 1 Light Accent 5"/>
    <w:basedOn w:val="NormaleTabelle"/>
    <w:uiPriority w:val="46"/>
    <w:rsid w:val="0031523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eschriftung">
    <w:name w:val="caption"/>
    <w:basedOn w:val="Standard"/>
    <w:next w:val="Standard"/>
    <w:link w:val="BeschriftungZchn"/>
    <w:uiPriority w:val="35"/>
    <w:unhideWhenUsed/>
    <w:qFormat/>
    <w:rsid w:val="0031523F"/>
    <w:pPr>
      <w:spacing w:after="200" w:line="240" w:lineRule="auto"/>
      <w:jc w:val="left"/>
    </w:pPr>
    <w:rPr>
      <w:i/>
      <w:iCs/>
      <w:color w:val="44546A" w:themeColor="text2"/>
      <w:sz w:val="18"/>
      <w:szCs w:val="18"/>
    </w:rPr>
  </w:style>
  <w:style w:type="character" w:customStyle="1" w:styleId="BeschriftungZchn">
    <w:name w:val="Beschriftung Zchn"/>
    <w:basedOn w:val="Absatz-Standardschriftart"/>
    <w:link w:val="Beschriftung"/>
    <w:uiPriority w:val="35"/>
    <w:rsid w:val="0031523F"/>
    <w:rPr>
      <w:i/>
      <w:iCs/>
      <w:color w:val="44546A" w:themeColor="text2"/>
      <w:sz w:val="18"/>
      <w:szCs w:val="18"/>
    </w:rPr>
  </w:style>
  <w:style w:type="table" w:styleId="Gitternetztabelle1hellAkzent1">
    <w:name w:val="Grid Table 1 Light Accent 1"/>
    <w:basedOn w:val="NormaleTabelle"/>
    <w:uiPriority w:val="46"/>
    <w:rsid w:val="0031523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3331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Rudolf</dc:creator>
  <cp:keywords/>
  <dc:description/>
  <cp:lastModifiedBy>Johannes Delp</cp:lastModifiedBy>
  <cp:revision>4</cp:revision>
  <dcterms:created xsi:type="dcterms:W3CDTF">2018-09-13T16:22:00Z</dcterms:created>
  <dcterms:modified xsi:type="dcterms:W3CDTF">2018-09-13T16:57:00Z</dcterms:modified>
</cp:coreProperties>
</file>