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ED9" w:rsidRDefault="00631BB8">
      <w:r>
        <w:t>Les différents types de sanctions :</w:t>
      </w:r>
    </w:p>
    <w:p w:rsidR="00BE3E9F" w:rsidRDefault="00BE3E9F">
      <w:r w:rsidRPr="00BE3E9F">
        <w:drawing>
          <wp:inline distT="0" distB="0" distL="0" distR="0" wp14:anchorId="68C9DE93" wp14:editId="1D8A7CA6">
            <wp:extent cx="3000375" cy="120389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0211" cy="123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10E5">
        <w:t xml:space="preserve"> </w:t>
      </w:r>
      <w:r w:rsidRPr="00BE3E9F">
        <w:drawing>
          <wp:inline distT="0" distB="0" distL="0" distR="0" wp14:anchorId="771A95AD" wp14:editId="7F10C07C">
            <wp:extent cx="2724150" cy="82457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7673" cy="85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6FCF">
        <w:br/>
        <w:t>La CNIL peut prononcer une amende maximum jusqu’ à :</w:t>
      </w:r>
      <w:r w:rsidR="005E6FCF">
        <w:br/>
      </w:r>
      <w:r w:rsidR="005E6FCF" w:rsidRPr="005E6FCF">
        <w:drawing>
          <wp:inline distT="0" distB="0" distL="0" distR="0" wp14:anchorId="5FFA63B0" wp14:editId="143F4419">
            <wp:extent cx="3554308" cy="561975"/>
            <wp:effectExtent l="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3300" cy="56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0FD" w:rsidRDefault="003050FD">
      <w:bookmarkStart w:id="0" w:name="_GoBack"/>
      <w:bookmarkEnd w:id="0"/>
    </w:p>
    <w:sectPr w:rsidR="003050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F0E"/>
    <w:rsid w:val="003050FD"/>
    <w:rsid w:val="003107B4"/>
    <w:rsid w:val="003F5F0E"/>
    <w:rsid w:val="005E6FCF"/>
    <w:rsid w:val="00631BB8"/>
    <w:rsid w:val="00847CCC"/>
    <w:rsid w:val="00BE10E5"/>
    <w:rsid w:val="00BE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EE41C"/>
  <w15:chartTrackingRefBased/>
  <w15:docId w15:val="{CA206F6A-0E05-4911-9C00-8373A9AC7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DELATTRE</dc:creator>
  <cp:keywords/>
  <dc:description/>
  <cp:lastModifiedBy>Antoine DELATTRE</cp:lastModifiedBy>
  <cp:revision>6</cp:revision>
  <dcterms:created xsi:type="dcterms:W3CDTF">2022-10-04T09:20:00Z</dcterms:created>
  <dcterms:modified xsi:type="dcterms:W3CDTF">2022-10-04T09:26:00Z</dcterms:modified>
</cp:coreProperties>
</file>