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8718A" w:rsidR="005814E4" w:rsidP="005814E4" w:rsidRDefault="005814E4" w14:paraId="25EDC019" w14:textId="77777777">
      <w:pPr>
        <w:pStyle w:val="Titre"/>
        <w:tabs>
          <w:tab w:val="left" w:pos="567"/>
          <w:tab w:val="left" w:pos="1134"/>
          <w:tab w:val="left" w:pos="1701"/>
          <w:tab w:val="left" w:pos="2268"/>
        </w:tabs>
        <w:rPr>
          <w:rFonts w:cs="Arial" w:asciiTheme="majorHAnsi" w:hAnsiTheme="majorHAnsi"/>
          <w:b/>
          <w:sz w:val="32"/>
          <w:szCs w:val="32"/>
        </w:rPr>
      </w:pPr>
      <w:r w:rsidRPr="0058718A">
        <w:rPr>
          <w:rFonts w:cs="Arial" w:asciiTheme="majorHAnsi" w:hAnsiTheme="majorHAnsi"/>
          <w:b/>
          <w:sz w:val="32"/>
          <w:szCs w:val="32"/>
        </w:rPr>
        <w:t>Mission 4 : Seuil de rentabilité et solutions d’hébergement</w:t>
      </w:r>
    </w:p>
    <w:p w:rsidR="005814E4" w:rsidP="005814E4" w:rsidRDefault="005814E4" w14:paraId="2CEF558D" w14:textId="77777777">
      <w:pPr>
        <w:tabs>
          <w:tab w:val="left" w:pos="567"/>
          <w:tab w:val="left" w:pos="1134"/>
          <w:tab w:val="left" w:pos="1701"/>
          <w:tab w:val="left" w:pos="2268"/>
        </w:tabs>
        <w:jc w:val="left"/>
        <w:outlineLvl w:val="0"/>
        <w:rPr>
          <w:b/>
        </w:rPr>
      </w:pPr>
      <w:bookmarkStart w:name="_Toc502325346" w:id="0"/>
    </w:p>
    <w:p w:rsidRPr="003975DB" w:rsidR="005814E4" w:rsidP="005814E4" w:rsidRDefault="005814E4" w14:paraId="74B1CD39" w14:textId="77777777">
      <w:pPr>
        <w:tabs>
          <w:tab w:val="left" w:pos="567"/>
          <w:tab w:val="left" w:pos="1134"/>
          <w:tab w:val="left" w:pos="1701"/>
          <w:tab w:val="left" w:pos="2268"/>
        </w:tabs>
        <w:jc w:val="left"/>
        <w:outlineLvl w:val="0"/>
        <w:rPr>
          <w:b/>
          <w:u w:val="single"/>
        </w:rPr>
      </w:pPr>
      <w:bookmarkStart w:name="_Toc502347777" w:id="1"/>
      <w:r w:rsidRPr="003975DB">
        <w:rPr>
          <w:b/>
          <w:u w:val="single"/>
        </w:rPr>
        <w:t>Partie 1 - Analyse de la rentabilité</w:t>
      </w:r>
      <w:bookmarkEnd w:id="0"/>
      <w:bookmarkEnd w:id="1"/>
    </w:p>
    <w:p w:rsidR="005814E4" w:rsidP="005814E4" w:rsidRDefault="005814E4" w14:paraId="641AFD17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FFFFF"/>
        <w:tabs>
          <w:tab w:val="left" w:pos="567"/>
          <w:tab w:val="left" w:pos="1134"/>
          <w:tab w:val="left" w:pos="1701"/>
          <w:tab w:val="left" w:pos="2268"/>
        </w:tabs>
        <w:spacing w:line="360" w:lineRule="auto"/>
        <w:jc w:val="right"/>
      </w:pPr>
      <w:r>
        <w:rPr>
          <w:rFonts w:cs="Arial"/>
          <w:b/>
          <w:bCs/>
          <w:i/>
          <w:iCs/>
          <w:szCs w:val="22"/>
        </w:rPr>
        <w:t>Document à utiliser : 11</w:t>
      </w:r>
    </w:p>
    <w:p w:rsidR="005814E4" w:rsidP="005814E4" w:rsidRDefault="005814E4" w14:paraId="7A6C3F15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25BCFFC4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Pour déterminer la rentabilité du projet </w:t>
      </w:r>
      <w:proofErr w:type="spellStart"/>
      <w:r>
        <w:rPr>
          <w:i/>
        </w:rPr>
        <w:t>WebCaisse</w:t>
      </w:r>
      <w:proofErr w:type="spellEnd"/>
      <w:r>
        <w:t xml:space="preserve"> dès sa première année de lancement, le responsable de </w:t>
      </w:r>
      <w:proofErr w:type="spellStart"/>
      <w:r>
        <w:t>Nasdy</w:t>
      </w:r>
      <w:proofErr w:type="spellEnd"/>
      <w:r>
        <w:t xml:space="preserve"> souhaiterait calculer le seuil de rentabilité de celui-ci. Le seuil de rentabilité est un montant déterminé à partir du chiffre d’affaires, des charges fixes et des charges variables supportées par l’entreprise.</w:t>
      </w:r>
    </w:p>
    <w:p w:rsidR="005814E4" w:rsidP="005814E4" w:rsidRDefault="005814E4" w14:paraId="5EACD4D9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276E7016" w14:textId="77777777">
      <w:pP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name="_Toc502325347" w:id="2"/>
      <w:bookmarkStart w:name="_Toc502347778" w:id="3"/>
      <w:r>
        <w:t xml:space="preserve">L’entreprise </w:t>
      </w:r>
      <w:proofErr w:type="spellStart"/>
      <w:r w:rsidRPr="007B6FCD">
        <w:t>Nasdy</w:t>
      </w:r>
      <w:proofErr w:type="spellEnd"/>
      <w:r>
        <w:t xml:space="preserve"> prévoit, pour la première année, un chiffre d’affaires de 300 000 € et a calculé le coût du projet pour la première année.</w:t>
      </w:r>
      <w:bookmarkEnd w:id="2"/>
      <w:bookmarkEnd w:id="3"/>
    </w:p>
    <w:p w:rsidR="005814E4" w:rsidP="005814E4" w:rsidRDefault="005814E4" w14:paraId="52CEBB02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Pr="00A9773C" w:rsidR="005814E4" w:rsidP="005814E4" w:rsidRDefault="005814E4" w14:paraId="5FE90C5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  <w:bookmarkStart w:name="_Toc502325348" w:id="4"/>
      <w:bookmarkStart w:name="_Toc502347779" w:id="5"/>
    </w:p>
    <w:p w:rsidR="005814E4" w:rsidP="005814E4" w:rsidRDefault="005814E4" w14:paraId="0A8B9D4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</w:rPr>
      </w:pPr>
      <w:r>
        <w:rPr>
          <w:b/>
        </w:rPr>
        <w:t xml:space="preserve">Question </w:t>
      </w:r>
      <w:r>
        <w:rPr>
          <w:rFonts w:cs="Arial"/>
          <w:b/>
          <w:szCs w:val="22"/>
        </w:rPr>
        <w:t>4</w:t>
      </w:r>
      <w:r>
        <w:rPr>
          <w:b/>
        </w:rPr>
        <w:t>.1 :</w:t>
      </w:r>
      <w:bookmarkEnd w:id="4"/>
      <w:bookmarkEnd w:id="5"/>
      <w:r>
        <w:rPr>
          <w:b/>
        </w:rPr>
        <w:t xml:space="preserve"> </w:t>
      </w:r>
    </w:p>
    <w:p w:rsidR="005814E4" w:rsidP="005814E4" w:rsidRDefault="005814E4" w14:paraId="291CA82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name="_Toc502325349" w:id="6"/>
      <w:bookmarkStart w:name="_Toc502347780" w:id="7"/>
      <w:r w:rsidR="005814E4">
        <w:rPr/>
        <w:t>a) Identifier les charges fixes et les charges variables dans le coût du projet présenté dans le dossier documentaire</w:t>
      </w:r>
      <w:bookmarkEnd w:id="6"/>
      <w:bookmarkEnd w:id="7"/>
      <w:r w:rsidR="005814E4">
        <w:rPr/>
        <w:t>.</w:t>
      </w:r>
    </w:p>
    <w:p w:rsidR="48FE83A8" w:rsidP="48FE83A8" w:rsidRDefault="48FE83A8" w14:paraId="4AAC87E4" w14:textId="48C994DF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outlineLvl w:val="0"/>
      </w:pPr>
    </w:p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4530"/>
        <w:gridCol w:w="4530"/>
      </w:tblGrid>
      <w:tr w:rsidR="48FE83A8" w:rsidTr="48FE83A8" w14:paraId="0DF63B7D">
        <w:tc>
          <w:tcPr>
            <w:tcW w:w="4530" w:type="dxa"/>
            <w:tcMar/>
          </w:tcPr>
          <w:p w:rsidR="64FF0618" w:rsidP="48FE83A8" w:rsidRDefault="64FF0618" w14:paraId="1F3D7926" w14:textId="28D4F705">
            <w:pPr>
              <w:pStyle w:val="Normal"/>
              <w:rPr>
                <w:color w:val="4472C4" w:themeColor="accent1" w:themeTint="FF" w:themeShade="FF"/>
              </w:rPr>
            </w:pPr>
            <w:r w:rsidRPr="48FE83A8" w:rsidR="64FF0618">
              <w:rPr>
                <w:color w:val="4472C4" w:themeColor="accent1" w:themeTint="FF" w:themeShade="FF"/>
              </w:rPr>
              <w:t>Charges fixes</w:t>
            </w:r>
          </w:p>
        </w:tc>
        <w:tc>
          <w:tcPr>
            <w:tcW w:w="4530" w:type="dxa"/>
            <w:tcMar/>
          </w:tcPr>
          <w:p w:rsidR="64FF0618" w:rsidP="48FE83A8" w:rsidRDefault="64FF0618" w14:paraId="5A3224E5" w14:textId="51D992A0">
            <w:pPr>
              <w:pStyle w:val="Normal"/>
              <w:rPr>
                <w:color w:val="4472C4" w:themeColor="accent1" w:themeTint="FF" w:themeShade="FF"/>
              </w:rPr>
            </w:pPr>
            <w:r w:rsidRPr="48FE83A8" w:rsidR="64FF0618">
              <w:rPr>
                <w:color w:val="4472C4" w:themeColor="accent1" w:themeTint="FF" w:themeShade="FF"/>
              </w:rPr>
              <w:t>Charges variables</w:t>
            </w:r>
          </w:p>
        </w:tc>
      </w:tr>
      <w:tr w:rsidR="48FE83A8" w:rsidTr="48FE83A8" w14:paraId="00376ED2">
        <w:tc>
          <w:tcPr>
            <w:tcW w:w="4530" w:type="dxa"/>
            <w:tcMar/>
          </w:tcPr>
          <w:p w:rsidR="64FF0618" w:rsidP="48FE83A8" w:rsidRDefault="64FF0618" w14:paraId="19460BD3" w14:textId="730EA925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4472C4" w:themeColor="accent1" w:themeTint="FF" w:themeShade="FF"/>
                <w:sz w:val="22"/>
                <w:szCs w:val="22"/>
              </w:rPr>
            </w:pPr>
            <w:r w:rsidRPr="48FE83A8" w:rsidR="64FF0618">
              <w:rPr>
                <w:color w:val="4472C4" w:themeColor="accent1" w:themeTint="FF" w:themeShade="FF"/>
              </w:rPr>
              <w:t>Coût salariale de l’équipe : 172 000€</w:t>
            </w:r>
          </w:p>
          <w:p w:rsidR="64FF0618" w:rsidP="48FE83A8" w:rsidRDefault="64FF0618" w14:paraId="75063B1D" w14:textId="33E4A64F">
            <w:pPr>
              <w:pStyle w:val="ListParagraph"/>
              <w:numPr>
                <w:ilvl w:val="0"/>
                <w:numId w:val="1"/>
              </w:numPr>
              <w:rPr>
                <w:color w:val="4472C4" w:themeColor="accent1" w:themeTint="FF" w:themeShade="FF"/>
                <w:sz w:val="22"/>
                <w:szCs w:val="22"/>
              </w:rPr>
            </w:pPr>
            <w:r w:rsidRPr="48FE83A8" w:rsidR="64FF0618">
              <w:rPr>
                <w:color w:val="4472C4" w:themeColor="accent1" w:themeTint="FF" w:themeShade="FF"/>
              </w:rPr>
              <w:t>Charges fixes d’exploitation : 44 000€</w:t>
            </w:r>
          </w:p>
        </w:tc>
        <w:tc>
          <w:tcPr>
            <w:tcW w:w="4530" w:type="dxa"/>
            <w:tcMar/>
          </w:tcPr>
          <w:p w:rsidR="64FF0618" w:rsidP="48FE83A8" w:rsidRDefault="64FF0618" w14:paraId="7A61BF6C" w14:textId="53A6963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4472C4" w:themeColor="accent1" w:themeTint="FF" w:themeShade="FF"/>
                <w:sz w:val="22"/>
                <w:szCs w:val="22"/>
              </w:rPr>
            </w:pPr>
            <w:r w:rsidRPr="48FE83A8" w:rsidR="64FF0618">
              <w:rPr>
                <w:color w:val="4472C4" w:themeColor="accent1" w:themeTint="FF" w:themeShade="FF"/>
              </w:rPr>
              <w:t>Equipement informatiques : 24 000€</w:t>
            </w:r>
          </w:p>
          <w:p w:rsidR="64FF0618" w:rsidP="48FE83A8" w:rsidRDefault="64FF0618" w14:paraId="6FCB87AC" w14:textId="0592A380">
            <w:pPr>
              <w:pStyle w:val="ListParagraph"/>
              <w:numPr>
                <w:ilvl w:val="0"/>
                <w:numId w:val="2"/>
              </w:numPr>
              <w:rPr>
                <w:color w:val="4472C4" w:themeColor="accent1" w:themeTint="FF" w:themeShade="FF"/>
                <w:sz w:val="22"/>
                <w:szCs w:val="22"/>
              </w:rPr>
            </w:pPr>
            <w:r w:rsidRPr="48FE83A8" w:rsidR="64FF0618">
              <w:rPr>
                <w:color w:val="4472C4" w:themeColor="accent1" w:themeTint="FF" w:themeShade="FF"/>
              </w:rPr>
              <w:t>Charges variables d’exploitation : 5 000€</w:t>
            </w:r>
          </w:p>
          <w:p w:rsidR="64FF0618" w:rsidP="48FE83A8" w:rsidRDefault="64FF0618" w14:paraId="1C370D30" w14:textId="027E77B9">
            <w:pPr>
              <w:pStyle w:val="ListParagraph"/>
              <w:numPr>
                <w:ilvl w:val="0"/>
                <w:numId w:val="2"/>
              </w:numPr>
              <w:rPr>
                <w:color w:val="4472C4" w:themeColor="accent1" w:themeTint="FF" w:themeShade="FF"/>
                <w:sz w:val="22"/>
                <w:szCs w:val="22"/>
              </w:rPr>
            </w:pPr>
            <w:r w:rsidRPr="48FE83A8" w:rsidR="64FF0618">
              <w:rPr>
                <w:color w:val="4472C4" w:themeColor="accent1" w:themeTint="FF" w:themeShade="FF"/>
              </w:rPr>
              <w:t>Autres charges variables : 55 000€</w:t>
            </w:r>
          </w:p>
        </w:tc>
      </w:tr>
    </w:tbl>
    <w:p w:rsidR="48FE83A8" w:rsidP="48FE83A8" w:rsidRDefault="48FE83A8" w14:paraId="25A4A412" w14:textId="5F665DB8">
      <w:pPr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outlineLvl w:val="0"/>
      </w:pPr>
    </w:p>
    <w:p w:rsidR="005814E4" w:rsidP="005814E4" w:rsidRDefault="005814E4" w14:paraId="4B6C667E" w14:textId="77777777" w14:noSpellErr="1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bookmarkStart w:name="_Toc502325350" w:id="8"/>
      <w:bookmarkStart w:name="_Toc502347781" w:id="9"/>
      <w:r w:rsidR="005814E4">
        <w:rPr/>
        <w:t>b) Calculer le montant total de charges fixes et le montant total de charges variables.</w:t>
      </w:r>
      <w:bookmarkEnd w:id="8"/>
      <w:bookmarkEnd w:id="9"/>
    </w:p>
    <w:p w:rsidR="48FE83A8" w:rsidP="48FE83A8" w:rsidRDefault="48FE83A8" w14:paraId="4DB1BE9B" w14:textId="6C1625D1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outlineLvl w:val="0"/>
        <w:rPr>
          <w:rFonts w:ascii="Arial" w:hAnsi="Arial" w:eastAsia="Times New Roman" w:cs="Times New Roman"/>
          <w:color w:val="4472C4" w:themeColor="accent1" w:themeTint="FF" w:themeShade="FF"/>
          <w:sz w:val="22"/>
          <w:szCs w:val="22"/>
        </w:rPr>
      </w:pPr>
    </w:p>
    <w:p w:rsidR="727714B8" w:rsidP="48FE83A8" w:rsidRDefault="727714B8" w14:paraId="1A135E71" w14:textId="72ABCCAE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outlineLvl w:val="0"/>
        <w:rPr>
          <w:rFonts w:ascii="Arial" w:hAnsi="Arial" w:eastAsia="Times New Roman" w:cs="Times New Roman"/>
          <w:color w:val="4472C4" w:themeColor="accent1" w:themeTint="FF" w:themeShade="FF"/>
          <w:sz w:val="22"/>
          <w:szCs w:val="22"/>
        </w:rPr>
      </w:pPr>
      <w:r w:rsidRPr="48FE83A8" w:rsidR="727714B8">
        <w:rPr>
          <w:rFonts w:ascii="Arial" w:hAnsi="Arial" w:eastAsia="Times New Roman" w:cs="Times New Roman"/>
          <w:color w:val="4472C4" w:themeColor="accent1" w:themeTint="FF" w:themeShade="FF"/>
          <w:sz w:val="22"/>
          <w:szCs w:val="22"/>
        </w:rPr>
        <w:t>Charge fixes : 172 000+ 44 000 = 216 000€</w:t>
      </w:r>
    </w:p>
    <w:p w:rsidR="727714B8" w:rsidP="48FE83A8" w:rsidRDefault="727714B8" w14:paraId="77E02355" w14:textId="401C1A91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outlineLvl w:val="0"/>
        <w:rPr>
          <w:rFonts w:ascii="Arial" w:hAnsi="Arial" w:eastAsia="Times New Roman" w:cs="Times New Roman"/>
          <w:color w:val="4472C4" w:themeColor="accent1" w:themeTint="FF" w:themeShade="FF"/>
          <w:sz w:val="22"/>
          <w:szCs w:val="22"/>
        </w:rPr>
      </w:pPr>
      <w:r w:rsidRPr="48FE83A8" w:rsidR="727714B8">
        <w:rPr>
          <w:rFonts w:ascii="Arial" w:hAnsi="Arial" w:eastAsia="Times New Roman" w:cs="Times New Roman"/>
          <w:color w:val="4472C4" w:themeColor="accent1" w:themeTint="FF" w:themeShade="FF"/>
          <w:sz w:val="22"/>
          <w:szCs w:val="22"/>
        </w:rPr>
        <w:t>Charges variables : 24 000+5000+55 000 = 84 000€</w:t>
      </w:r>
    </w:p>
    <w:p w:rsidR="005814E4" w:rsidP="005814E4" w:rsidRDefault="005814E4" w14:paraId="046742C1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0878A069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D’après les estimations effectuées, le montant du seuil de rentabilité du projet </w:t>
      </w:r>
      <w:proofErr w:type="spellStart"/>
      <w:r>
        <w:rPr>
          <w:i/>
        </w:rPr>
        <w:t>WebCaisse</w:t>
      </w:r>
      <w:proofErr w:type="spellEnd"/>
      <w:r>
        <w:rPr>
          <w:i/>
        </w:rPr>
        <w:t xml:space="preserve"> </w:t>
      </w:r>
      <w:r>
        <w:t>s’élèverait à 280 000 €. Ce montant correspond au chiffre d’affaires à atteindre afin de couvrir toutes les charges liées au projet.</w:t>
      </w:r>
    </w:p>
    <w:p w:rsidR="005814E4" w:rsidP="005814E4" w:rsidRDefault="005814E4" w14:paraId="16AE9BC3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>Il est pertinent pour l’entreprise, de savoir à quelle date de l’année, appelée « point mort », ce montant est atteint par rapport au chiffre d’affaires annuel prévu.</w:t>
      </w:r>
    </w:p>
    <w:p w:rsidR="005814E4" w:rsidP="005814E4" w:rsidRDefault="005814E4" w14:paraId="439A437C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Pr="00A9773C" w:rsidR="005814E4" w:rsidP="005814E4" w:rsidRDefault="005814E4" w14:paraId="101BB601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  <w:bookmarkStart w:name="_Toc502325351" w:id="10"/>
      <w:bookmarkStart w:name="_Toc502347782" w:id="11"/>
    </w:p>
    <w:p w:rsidR="005814E4" w:rsidP="005814E4" w:rsidRDefault="005814E4" w14:paraId="1222028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</w:rPr>
      </w:pPr>
      <w:r>
        <w:rPr>
          <w:b/>
        </w:rPr>
        <w:t xml:space="preserve">Question </w:t>
      </w:r>
      <w:r>
        <w:rPr>
          <w:rFonts w:cs="Arial"/>
          <w:b/>
          <w:szCs w:val="22"/>
        </w:rPr>
        <w:t>4</w:t>
      </w:r>
      <w:r w:rsidRPr="00CF1246">
        <w:rPr>
          <w:b/>
        </w:rPr>
        <w:t>.</w:t>
      </w:r>
      <w:r>
        <w:rPr>
          <w:b/>
        </w:rPr>
        <w:t>2</w:t>
      </w:r>
    </w:p>
    <w:p w:rsidR="005814E4" w:rsidP="005814E4" w:rsidRDefault="005814E4" w14:paraId="3DC8D24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 w:rsidRPr="00AF1095">
        <w:t>D</w:t>
      </w:r>
      <w:r>
        <w:t>éterminer le point mort du projet en nombre de jours, sachant qu’une année comptable est équivalente à 360 jours. Commenter le résultat obtenu.</w:t>
      </w:r>
      <w:bookmarkEnd w:id="10"/>
      <w:bookmarkEnd w:id="11"/>
    </w:p>
    <w:p w:rsidRPr="00A9773C" w:rsidR="005814E4" w:rsidP="005814E4" w:rsidRDefault="005814E4" w14:paraId="5C38060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:rsidR="34EFC1A6" w:rsidP="48FE83A8" w:rsidRDefault="34EFC1A6" w14:paraId="015939D5" w14:textId="4930B28C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spacing w:after="200" w:line="276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</w:pPr>
      <w:r w:rsidRPr="48FE83A8" w:rsidR="34EFC1A6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4"/>
          <w:szCs w:val="24"/>
          <w:lang w:val="fr-FR"/>
        </w:rPr>
        <w:t>Point mort</w:t>
      </w:r>
      <w:r w:rsidRPr="48FE83A8" w:rsidR="34EFC1A6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fr-FR"/>
        </w:rPr>
        <w:t xml:space="preserve"> = </w:t>
      </w:r>
      <w:r w:rsidRPr="48FE83A8" w:rsidR="34F6F204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fr-FR"/>
        </w:rPr>
        <w:t>Seuil de rentabilité / (chiffre d’affaires / nombre de jours d’une année)</w:t>
      </w:r>
    </w:p>
    <w:p w:rsidR="34EFC1A6" w:rsidP="48FE83A8" w:rsidRDefault="34EFC1A6" w14:paraId="376AF82D" w14:textId="6F7742F7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spacing w:after="200" w:line="276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</w:pPr>
      <w:bookmarkStart w:name="_Toc502325352" w:id="12"/>
      <w:r w:rsidRPr="48FE83A8" w:rsidR="34EFC1A6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Soit : 280 000 / (</w:t>
      </w:r>
      <w:r w:rsidRPr="48FE83A8" w:rsidR="698A54CD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300 000</w:t>
      </w:r>
      <w:r w:rsidRPr="48FE83A8" w:rsidR="2719E7AB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/</w:t>
      </w:r>
      <w:r w:rsidRPr="48FE83A8" w:rsidR="6AF3CD2D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360)</w:t>
      </w:r>
      <w:r w:rsidRPr="48FE83A8" w:rsidR="36836E97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 xml:space="preserve"> = </w:t>
      </w:r>
      <w:r w:rsidRPr="48FE83A8" w:rsidR="6FF0EB3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833.3</w:t>
      </w:r>
    </w:p>
    <w:p w:rsidR="6FF0EB31" w:rsidP="48FE83A8" w:rsidRDefault="6FF0EB31" w14:paraId="2A08109D" w14:textId="135111A3">
      <w:pPr>
        <w:pStyle w:val="Normal"/>
        <w:tabs>
          <w:tab w:val="left" w:leader="none" w:pos="567"/>
          <w:tab w:val="left" w:leader="none" w:pos="1134"/>
          <w:tab w:val="left" w:leader="none" w:pos="1701"/>
          <w:tab w:val="left" w:leader="none" w:pos="2268"/>
        </w:tabs>
        <w:spacing w:after="200" w:line="276" w:lineRule="auto"/>
        <w:jc w:val="left"/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</w:pPr>
      <w:r w:rsidRPr="48FE83A8" w:rsidR="6FF0EB31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 xml:space="preserve">Le point mort du projet sera atteint de 833e jour ce qui équivaut à </w:t>
      </w:r>
      <w:r w:rsidRPr="48FE83A8" w:rsidR="24F4D240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 xml:space="preserve">27 mois est 13 jours, le seuil de rentabilité sera donc atteint le 28e mois ce qui équivaut </w:t>
      </w:r>
      <w:r w:rsidRPr="48FE83A8" w:rsidR="16F6D5E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au mois de mars de la troisième année d’</w:t>
      </w:r>
      <w:r w:rsidRPr="48FE83A8" w:rsidR="16F6D5E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amortissement</w:t>
      </w:r>
      <w:r w:rsidRPr="48FE83A8" w:rsidR="16F6D5E3">
        <w:rPr>
          <w:rFonts w:ascii="Arial" w:hAnsi="Arial" w:eastAsia="Times New Roman" w:cs="Times New Roman"/>
          <w:b w:val="0"/>
          <w:bCs w:val="0"/>
          <w:i w:val="0"/>
          <w:iCs w:val="0"/>
          <w:noProof w:val="0"/>
          <w:color w:val="202124"/>
          <w:sz w:val="22"/>
          <w:szCs w:val="22"/>
          <w:lang w:val="fr-FR"/>
        </w:rPr>
        <w:t>.</w:t>
      </w:r>
    </w:p>
    <w:p w:rsidRPr="003975DB" w:rsidR="005814E4" w:rsidP="005814E4" w:rsidRDefault="005814E4" w14:paraId="5AFF73FE" w14:textId="77777777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b/>
          <w:u w:val="single"/>
        </w:rPr>
      </w:pPr>
      <w:r w:rsidRPr="003975DB">
        <w:rPr>
          <w:b/>
          <w:u w:val="single"/>
        </w:rPr>
        <w:t>Partie 2 - Choix de l’hébergeur</w:t>
      </w:r>
      <w:bookmarkEnd w:id="12"/>
    </w:p>
    <w:p w:rsidR="005814E4" w:rsidP="005814E4" w:rsidRDefault="005814E4" w14:paraId="1511AAD2" w14:textId="77777777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hd w:val="clear" w:color="auto" w:fill="FFFFFF"/>
        <w:tabs>
          <w:tab w:val="left" w:pos="567"/>
          <w:tab w:val="left" w:pos="1134"/>
          <w:tab w:val="left" w:pos="1701"/>
          <w:tab w:val="left" w:pos="2268"/>
        </w:tabs>
        <w:spacing w:line="360" w:lineRule="auto"/>
        <w:jc w:val="right"/>
      </w:pPr>
      <w:r>
        <w:rPr>
          <w:rFonts w:cs="Arial"/>
          <w:b/>
          <w:bCs/>
          <w:i/>
          <w:iCs/>
          <w:szCs w:val="22"/>
        </w:rPr>
        <w:t>Document à utiliser : 12</w:t>
      </w:r>
    </w:p>
    <w:p w:rsidR="005814E4" w:rsidP="005814E4" w:rsidRDefault="005814E4" w14:paraId="61D30212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:rsidR="005814E4" w:rsidP="005814E4" w:rsidRDefault="005814E4" w14:paraId="770346D3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Pour obtenir la certification NF 525, l’application </w:t>
      </w:r>
      <w:proofErr w:type="spellStart"/>
      <w:r w:rsidRPr="007B6FCD">
        <w:rPr>
          <w:i/>
        </w:rPr>
        <w:t>WebCaisse</w:t>
      </w:r>
      <w:proofErr w:type="spellEnd"/>
      <w:r>
        <w:t xml:space="preserve"> de la société </w:t>
      </w:r>
      <w:proofErr w:type="spellStart"/>
      <w:r>
        <w:t>Nasdy</w:t>
      </w:r>
      <w:proofErr w:type="spellEnd"/>
      <w:r>
        <w:t xml:space="preserve"> devra satisfaire </w:t>
      </w:r>
      <w:r w:rsidRPr="00B8591F">
        <w:t>aux conditions d’inaltérabilité, de sécurisation, de conservation et d’archivage de données</w:t>
      </w:r>
      <w:r>
        <w:t xml:space="preserve"> telles que mentionnées dans la loi de finances pour 2016. </w:t>
      </w:r>
    </w:p>
    <w:p w:rsidR="005814E4" w:rsidP="005814E4" w:rsidRDefault="005814E4" w14:paraId="53C10822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 xml:space="preserve">Le chef de projet vous a adressé un courriel contenant ses attentes en termes de protection des données et les spécifications de trois hébergeurs. Il vous confie l’étude des solutions d’hébergement. </w:t>
      </w:r>
    </w:p>
    <w:p w:rsidR="005814E4" w:rsidP="005814E4" w:rsidRDefault="005814E4" w14:paraId="2F61E761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Pr="00A9773C" w:rsidR="005814E4" w:rsidP="005814E4" w:rsidRDefault="005814E4" w14:paraId="59F644B6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  <w:bookmarkStart w:name="_Toc502325353" w:id="13"/>
      <w:bookmarkStart w:name="_Toc502347783" w:id="14"/>
    </w:p>
    <w:p w:rsidR="005814E4" w:rsidP="005814E4" w:rsidRDefault="005814E4" w14:paraId="57B6D71A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</w:rPr>
      </w:pPr>
      <w:r>
        <w:rPr>
          <w:b/>
        </w:rPr>
        <w:t xml:space="preserve">Question </w:t>
      </w:r>
      <w:r>
        <w:rPr>
          <w:rFonts w:cs="Arial"/>
          <w:b/>
          <w:szCs w:val="22"/>
        </w:rPr>
        <w:t>4</w:t>
      </w:r>
      <w:r>
        <w:rPr>
          <w:b/>
        </w:rPr>
        <w:t>.3</w:t>
      </w:r>
    </w:p>
    <w:p w:rsidR="005814E4" w:rsidP="005814E4" w:rsidRDefault="005814E4" w14:paraId="1C66EA3F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</w:pPr>
      <w:r w:rsidRPr="00AF1095">
        <w:t>R</w:t>
      </w:r>
      <w:r w:rsidRPr="005336B8">
        <w:t xml:space="preserve">édiger une </w:t>
      </w:r>
      <w:r>
        <w:t xml:space="preserve">courte </w:t>
      </w:r>
      <w:r w:rsidRPr="005336B8">
        <w:t xml:space="preserve">note à destination du chef de projet </w:t>
      </w:r>
      <w:r>
        <w:t xml:space="preserve">en </w:t>
      </w:r>
      <w:r w:rsidRPr="005336B8">
        <w:t>just</w:t>
      </w:r>
      <w:r>
        <w:t>ifiant le choix d’un hébergeur parmi</w:t>
      </w:r>
      <w:r w:rsidRPr="005336B8">
        <w:t xml:space="preserve"> les </w:t>
      </w:r>
      <w:r>
        <w:t>trois</w:t>
      </w:r>
      <w:r w:rsidRPr="005336B8">
        <w:t xml:space="preserve"> propositions</w:t>
      </w:r>
      <w:r>
        <w:t>.</w:t>
      </w:r>
      <w:bookmarkEnd w:id="13"/>
      <w:bookmarkEnd w:id="14"/>
    </w:p>
    <w:p w:rsidRPr="00A9773C" w:rsidR="005814E4" w:rsidP="005814E4" w:rsidRDefault="005814E4" w14:paraId="333538A5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  <w:sz w:val="8"/>
          <w:szCs w:val="8"/>
        </w:rPr>
      </w:pPr>
    </w:p>
    <w:p w:rsidR="005814E4" w:rsidP="005814E4" w:rsidRDefault="005814E4" w14:paraId="1BCAEFE7" w14:textId="77777777">
      <w:pPr>
        <w:tabs>
          <w:tab w:val="left" w:pos="567"/>
          <w:tab w:val="left" w:pos="1134"/>
          <w:tab w:val="left" w:pos="1701"/>
          <w:tab w:val="left" w:pos="2268"/>
        </w:tabs>
        <w:suppressAutoHyphens w:val="0"/>
        <w:spacing w:after="200" w:line="276" w:lineRule="auto"/>
        <w:jc w:val="left"/>
        <w:rPr>
          <w:rFonts w:ascii="Cambria" w:hAnsi="Cambria"/>
          <w:b/>
          <w:spacing w:val="5"/>
          <w:kern w:val="28"/>
          <w:sz w:val="32"/>
          <w:szCs w:val="32"/>
          <w:lang w:eastAsia="en-US"/>
        </w:rPr>
      </w:pPr>
      <w:r>
        <w:rPr>
          <w:b/>
          <w:sz w:val="32"/>
          <w:szCs w:val="32"/>
        </w:rPr>
        <w:br w:type="page"/>
      </w:r>
    </w:p>
    <w:p w:rsidRPr="00DD3B46" w:rsidR="005814E4" w:rsidP="005814E4" w:rsidRDefault="005814E4" w14:paraId="53443FA4" w14:textId="77777777">
      <w:pPr>
        <w:pStyle w:val="Titre1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tabs>
          <w:tab w:val="left" w:pos="567"/>
          <w:tab w:val="left" w:pos="1134"/>
          <w:tab w:val="left" w:pos="1701"/>
          <w:tab w:val="left" w:pos="2268"/>
        </w:tabs>
      </w:pPr>
      <w:r w:rsidRPr="00B458CF">
        <w:rPr>
          <w:u w:val="single"/>
        </w:rPr>
        <w:lastRenderedPageBreak/>
        <w:t>Document 11</w:t>
      </w:r>
      <w:r>
        <w:t xml:space="preserve"> : coût du projet </w:t>
      </w:r>
    </w:p>
    <w:p w:rsidR="005814E4" w:rsidP="005814E4" w:rsidRDefault="005814E4" w14:paraId="7C4A5FC6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:rsidR="005814E4" w:rsidP="005814E4" w:rsidRDefault="005814E4" w14:paraId="4C493008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>Les coûts du projet sont liés à la mise en place de l’équipe dédiée, au matériel, et aux charges d’exploitation. Les charges d'exploitation fournies ci-dessous sont celles prévues sur la première année. Elles sont fonction de l'activité prévue.</w:t>
      </w:r>
    </w:p>
    <w:p w:rsidR="005814E4" w:rsidP="005814E4" w:rsidRDefault="005814E4" w14:paraId="2EC47B8C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42C47F21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>1</w:t>
      </w:r>
      <w:r w:rsidRPr="00B51969">
        <w:t>/ Coût salarial de l’équipe </w:t>
      </w:r>
      <w:r>
        <w:t>(charges patronales comprises) :</w:t>
      </w:r>
    </w:p>
    <w:p w:rsidRPr="00B51969" w:rsidR="005814E4" w:rsidP="005814E4" w:rsidRDefault="005814E4" w14:paraId="074DE398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tbl>
      <w:tblPr>
        <w:tblStyle w:val="Grilledutableau"/>
        <w:tblW w:w="6127" w:type="dxa"/>
        <w:tblInd w:w="360" w:type="dxa"/>
        <w:tblLook w:val="04A0" w:firstRow="1" w:lastRow="0" w:firstColumn="1" w:lastColumn="0" w:noHBand="0" w:noVBand="1"/>
      </w:tblPr>
      <w:tblGrid>
        <w:gridCol w:w="4591"/>
        <w:gridCol w:w="1536"/>
      </w:tblGrid>
      <w:tr w:rsidR="005814E4" w:rsidTr="00DA4255" w14:paraId="374D8754" w14:textId="77777777">
        <w:tc>
          <w:tcPr>
            <w:tcW w:w="4591" w:type="dxa"/>
          </w:tcPr>
          <w:p w:rsidRPr="001B177B" w:rsidR="005814E4" w:rsidP="00DA4255" w:rsidRDefault="005814E4" w14:paraId="5220E016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 w:rsidRPr="001B177B">
              <w:t>Le chef de projet</w:t>
            </w:r>
          </w:p>
        </w:tc>
        <w:tc>
          <w:tcPr>
            <w:tcW w:w="1536" w:type="dxa"/>
          </w:tcPr>
          <w:p w:rsidR="005814E4" w:rsidP="00DA4255" w:rsidRDefault="005814E4" w14:paraId="524189BA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lang w:eastAsia="fr-FR"/>
              </w:rPr>
            </w:pPr>
            <w:r>
              <w:rPr>
                <w:lang w:eastAsia="fr-FR"/>
              </w:rPr>
              <w:t>72 000 €</w:t>
            </w:r>
          </w:p>
        </w:tc>
      </w:tr>
      <w:tr w:rsidR="005814E4" w:rsidTr="00DA4255" w14:paraId="1A7703C8" w14:textId="77777777">
        <w:tc>
          <w:tcPr>
            <w:tcW w:w="4591" w:type="dxa"/>
          </w:tcPr>
          <w:p w:rsidRPr="001B177B" w:rsidR="005814E4" w:rsidP="00DA4255" w:rsidRDefault="005814E4" w14:paraId="344D646D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2</w:t>
            </w:r>
            <w:r w:rsidRPr="001B177B">
              <w:t xml:space="preserve"> développeur</w:t>
            </w:r>
            <w:r>
              <w:t>s</w:t>
            </w:r>
          </w:p>
        </w:tc>
        <w:tc>
          <w:tcPr>
            <w:tcW w:w="1536" w:type="dxa"/>
          </w:tcPr>
          <w:p w:rsidR="005814E4" w:rsidP="00DA4255" w:rsidRDefault="005814E4" w14:paraId="18128B4F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lang w:eastAsia="fr-FR"/>
              </w:rPr>
            </w:pPr>
            <w:r>
              <w:rPr>
                <w:lang w:eastAsia="fr-FR"/>
              </w:rPr>
              <w:t>74 000 €</w:t>
            </w:r>
          </w:p>
        </w:tc>
      </w:tr>
      <w:tr w:rsidR="005814E4" w:rsidTr="00DA4255" w14:paraId="184C02E2" w14:textId="77777777">
        <w:tc>
          <w:tcPr>
            <w:tcW w:w="4591" w:type="dxa"/>
          </w:tcPr>
          <w:p w:rsidRPr="001B177B" w:rsidR="005814E4" w:rsidP="00DA4255" w:rsidRDefault="005814E4" w14:paraId="62D8DE54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Un commercial</w:t>
            </w:r>
          </w:p>
        </w:tc>
        <w:tc>
          <w:tcPr>
            <w:tcW w:w="1536" w:type="dxa"/>
          </w:tcPr>
          <w:p w:rsidR="005814E4" w:rsidP="00DA4255" w:rsidRDefault="005814E4" w14:paraId="34D63214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lang w:eastAsia="fr-FR"/>
              </w:rPr>
            </w:pPr>
            <w:r>
              <w:rPr>
                <w:lang w:eastAsia="fr-FR"/>
              </w:rPr>
              <w:t>26 000 €</w:t>
            </w:r>
          </w:p>
        </w:tc>
      </w:tr>
      <w:tr w:rsidR="005814E4" w:rsidTr="00DA4255" w14:paraId="7B727284" w14:textId="77777777">
        <w:tc>
          <w:tcPr>
            <w:tcW w:w="4591" w:type="dxa"/>
          </w:tcPr>
          <w:p w:rsidRPr="009660D7" w:rsidR="005814E4" w:rsidP="00DA4255" w:rsidRDefault="005814E4" w14:paraId="371754DF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i/>
                <w:color w:val="000000" w:themeColor="text1"/>
              </w:rPr>
            </w:pPr>
            <w:r w:rsidRPr="009660D7">
              <w:rPr>
                <w:i/>
                <w:color w:val="000000" w:themeColor="text1"/>
              </w:rPr>
              <w:t>Montant total</w:t>
            </w:r>
          </w:p>
        </w:tc>
        <w:tc>
          <w:tcPr>
            <w:tcW w:w="1536" w:type="dxa"/>
          </w:tcPr>
          <w:p w:rsidRPr="00B51969" w:rsidR="005814E4" w:rsidP="00DA4255" w:rsidRDefault="005814E4" w14:paraId="151FAE67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  <w:i/>
                <w:color w:val="000000" w:themeColor="text1"/>
                <w:lang w:eastAsia="fr-FR"/>
              </w:rPr>
            </w:pPr>
            <w:r>
              <w:rPr>
                <w:b/>
                <w:i/>
                <w:color w:val="000000" w:themeColor="text1"/>
                <w:lang w:eastAsia="fr-FR"/>
              </w:rPr>
              <w:t>172 00</w:t>
            </w:r>
            <w:r w:rsidRPr="00B51969">
              <w:rPr>
                <w:b/>
                <w:i/>
                <w:color w:val="000000" w:themeColor="text1"/>
                <w:lang w:eastAsia="fr-FR"/>
              </w:rPr>
              <w:t>0 €</w:t>
            </w:r>
          </w:p>
        </w:tc>
      </w:tr>
    </w:tbl>
    <w:p w:rsidR="005814E4" w:rsidP="005814E4" w:rsidRDefault="005814E4" w14:paraId="70A02EA2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Pr="00B51969" w:rsidR="005814E4" w:rsidP="005814E4" w:rsidRDefault="005814E4" w14:paraId="4C29E048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7D8E057E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>2/ C</w:t>
      </w:r>
      <w:r w:rsidRPr="00B51969">
        <w:t xml:space="preserve">oût </w:t>
      </w:r>
      <w:r>
        <w:t>des</w:t>
      </w:r>
      <w:r w:rsidRPr="00B51969">
        <w:t xml:space="preserve"> équipements informatiques :</w:t>
      </w:r>
    </w:p>
    <w:p w:rsidR="005814E4" w:rsidP="005814E4" w:rsidRDefault="005814E4" w14:paraId="4C759CB9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tbl>
      <w:tblPr>
        <w:tblStyle w:val="Grilledutableau"/>
        <w:tblW w:w="8896" w:type="dxa"/>
        <w:tblInd w:w="392" w:type="dxa"/>
        <w:tblLook w:val="04A0" w:firstRow="1" w:lastRow="0" w:firstColumn="1" w:lastColumn="0" w:noHBand="0" w:noVBand="1"/>
      </w:tblPr>
      <w:tblGrid>
        <w:gridCol w:w="2977"/>
        <w:gridCol w:w="2976"/>
        <w:gridCol w:w="2943"/>
      </w:tblGrid>
      <w:tr w:rsidR="005814E4" w:rsidTr="00DA4255" w14:paraId="09ACC69E" w14:textId="77777777">
        <w:tc>
          <w:tcPr>
            <w:tcW w:w="2977" w:type="dxa"/>
          </w:tcPr>
          <w:p w:rsidRPr="00B51969" w:rsidR="005814E4" w:rsidP="00DA4255" w:rsidRDefault="005814E4" w14:paraId="570A390D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B51969">
              <w:rPr>
                <w:b/>
              </w:rPr>
              <w:t>Matériels</w:t>
            </w:r>
          </w:p>
        </w:tc>
        <w:tc>
          <w:tcPr>
            <w:tcW w:w="2976" w:type="dxa"/>
          </w:tcPr>
          <w:p w:rsidRPr="00B51969" w:rsidR="005814E4" w:rsidP="00DA4255" w:rsidRDefault="005814E4" w14:paraId="3E3B8B61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B51969">
              <w:rPr>
                <w:b/>
              </w:rPr>
              <w:t>Prix unitaire</w:t>
            </w:r>
          </w:p>
        </w:tc>
        <w:tc>
          <w:tcPr>
            <w:tcW w:w="2943" w:type="dxa"/>
          </w:tcPr>
          <w:p w:rsidRPr="00B51969" w:rsidR="005814E4" w:rsidP="00DA4255" w:rsidRDefault="005814E4" w14:paraId="0D5ED20C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B51969">
              <w:rPr>
                <w:b/>
              </w:rPr>
              <w:t>Prix total</w:t>
            </w:r>
          </w:p>
        </w:tc>
      </w:tr>
      <w:tr w:rsidR="005814E4" w:rsidTr="00DA4255" w14:paraId="2456038B" w14:textId="77777777">
        <w:tc>
          <w:tcPr>
            <w:tcW w:w="2977" w:type="dxa"/>
          </w:tcPr>
          <w:p w:rsidRPr="009660D7" w:rsidR="005814E4" w:rsidP="00DA4255" w:rsidRDefault="005814E4" w14:paraId="444C4DFA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9660D7">
              <w:t xml:space="preserve">3 </w:t>
            </w:r>
            <w:r>
              <w:t>i</w:t>
            </w:r>
            <w:r w:rsidRPr="009660D7">
              <w:t>Mac 27’’</w:t>
            </w:r>
          </w:p>
        </w:tc>
        <w:tc>
          <w:tcPr>
            <w:tcW w:w="2976" w:type="dxa"/>
          </w:tcPr>
          <w:p w:rsidRPr="00FC7385" w:rsidR="005814E4" w:rsidP="00DA4255" w:rsidRDefault="005814E4" w14:paraId="3E583A99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 xml:space="preserve">3 </w:t>
            </w:r>
            <w:proofErr w:type="gramStart"/>
            <w:r>
              <w:t>000  €</w:t>
            </w:r>
            <w:proofErr w:type="gramEnd"/>
          </w:p>
        </w:tc>
        <w:tc>
          <w:tcPr>
            <w:tcW w:w="2943" w:type="dxa"/>
          </w:tcPr>
          <w:p w:rsidRPr="00FC7385" w:rsidR="005814E4" w:rsidP="00DA4255" w:rsidRDefault="005814E4" w14:paraId="59CCE40F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9 000 €</w:t>
            </w:r>
          </w:p>
        </w:tc>
      </w:tr>
      <w:tr w:rsidR="005814E4" w:rsidTr="00DA4255" w14:paraId="4BCDAAB4" w14:textId="77777777">
        <w:tc>
          <w:tcPr>
            <w:tcW w:w="2977" w:type="dxa"/>
          </w:tcPr>
          <w:p w:rsidRPr="009660D7" w:rsidR="005814E4" w:rsidP="00DA4255" w:rsidRDefault="005814E4" w14:paraId="12D2BB26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9660D7">
              <w:t>3 smartphones/tablettes</w:t>
            </w:r>
          </w:p>
        </w:tc>
        <w:tc>
          <w:tcPr>
            <w:tcW w:w="2976" w:type="dxa"/>
          </w:tcPr>
          <w:p w:rsidRPr="00FC7385" w:rsidR="005814E4" w:rsidP="00DA4255" w:rsidRDefault="005814E4" w14:paraId="39625781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1 000 €</w:t>
            </w:r>
          </w:p>
        </w:tc>
        <w:tc>
          <w:tcPr>
            <w:tcW w:w="2943" w:type="dxa"/>
          </w:tcPr>
          <w:p w:rsidRPr="00FC7385" w:rsidR="005814E4" w:rsidP="00DA4255" w:rsidRDefault="005814E4" w14:paraId="0CC3BA45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3 000 €</w:t>
            </w:r>
          </w:p>
        </w:tc>
      </w:tr>
      <w:tr w:rsidR="005814E4" w:rsidTr="00DA4255" w14:paraId="00CC09EC" w14:textId="77777777">
        <w:tc>
          <w:tcPr>
            <w:tcW w:w="2977" w:type="dxa"/>
          </w:tcPr>
          <w:p w:rsidRPr="009660D7" w:rsidR="005814E4" w:rsidP="00DA4255" w:rsidRDefault="005814E4" w14:paraId="2C1A99BA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jc w:val="left"/>
              <w:rPr>
                <w:b/>
                <w:lang w:val="en-GB"/>
              </w:rPr>
            </w:pPr>
            <w:r>
              <w:rPr>
                <w:lang w:val="en-GB"/>
              </w:rPr>
              <w:t xml:space="preserve">3 </w:t>
            </w:r>
            <w:r w:rsidRPr="009660D7">
              <w:rPr>
                <w:lang w:val="en-GB"/>
              </w:rPr>
              <w:t>Mac</w:t>
            </w:r>
            <w:r>
              <w:rPr>
                <w:lang w:val="en-GB"/>
              </w:rPr>
              <w:t>Book</w:t>
            </w:r>
            <w:r w:rsidRPr="009660D7">
              <w:rPr>
                <w:lang w:val="en-GB"/>
              </w:rPr>
              <w:t xml:space="preserve"> Pro 15’</w:t>
            </w:r>
            <w:proofErr w:type="gramStart"/>
            <w:r w:rsidRPr="009660D7">
              <w:rPr>
                <w:lang w:val="en-GB"/>
              </w:rPr>
              <w:t>’  2</w:t>
            </w:r>
            <w:proofErr w:type="gramEnd"/>
            <w:r w:rsidRPr="009660D7">
              <w:rPr>
                <w:lang w:val="en-GB"/>
              </w:rPr>
              <w:t>,7Ghz 512 Go</w:t>
            </w:r>
          </w:p>
        </w:tc>
        <w:tc>
          <w:tcPr>
            <w:tcW w:w="2976" w:type="dxa"/>
          </w:tcPr>
          <w:p w:rsidRPr="00FC7385" w:rsidR="005814E4" w:rsidP="00DA4255" w:rsidRDefault="005814E4" w14:paraId="13884259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3 500€</w:t>
            </w:r>
          </w:p>
        </w:tc>
        <w:tc>
          <w:tcPr>
            <w:tcW w:w="2943" w:type="dxa"/>
          </w:tcPr>
          <w:p w:rsidRPr="00FC7385" w:rsidR="005814E4" w:rsidP="00DA4255" w:rsidRDefault="005814E4" w14:paraId="6D6618A3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10 500 €</w:t>
            </w:r>
          </w:p>
        </w:tc>
      </w:tr>
      <w:tr w:rsidR="005814E4" w:rsidTr="00DA4255" w14:paraId="561163C8" w14:textId="77777777">
        <w:tc>
          <w:tcPr>
            <w:tcW w:w="2977" w:type="dxa"/>
          </w:tcPr>
          <w:p w:rsidRPr="009660D7" w:rsidR="005814E4" w:rsidP="00DA4255" w:rsidRDefault="005814E4" w14:paraId="2EA55B02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9660D7">
              <w:t>3 écrans 27’’</w:t>
            </w:r>
          </w:p>
        </w:tc>
        <w:tc>
          <w:tcPr>
            <w:tcW w:w="2976" w:type="dxa"/>
          </w:tcPr>
          <w:p w:rsidRPr="00FC7385" w:rsidR="005814E4" w:rsidP="00DA4255" w:rsidRDefault="005814E4" w14:paraId="18A11F04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500 €</w:t>
            </w:r>
          </w:p>
        </w:tc>
        <w:tc>
          <w:tcPr>
            <w:tcW w:w="2943" w:type="dxa"/>
          </w:tcPr>
          <w:p w:rsidRPr="00FC7385" w:rsidR="005814E4" w:rsidP="00DA4255" w:rsidRDefault="005814E4" w14:paraId="782F9FC6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1 500 €</w:t>
            </w:r>
          </w:p>
        </w:tc>
      </w:tr>
      <w:tr w:rsidR="005814E4" w:rsidTr="00DA4255" w14:paraId="62FD6B27" w14:textId="77777777">
        <w:tc>
          <w:tcPr>
            <w:tcW w:w="2977" w:type="dxa"/>
          </w:tcPr>
          <w:p w:rsidRPr="009660D7" w:rsidR="005814E4" w:rsidP="00DA4255" w:rsidRDefault="005814E4" w14:paraId="742DC0A7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i/>
                <w:color w:val="000000" w:themeColor="text1"/>
              </w:rPr>
            </w:pPr>
            <w:r w:rsidRPr="009660D7">
              <w:rPr>
                <w:i/>
                <w:color w:val="000000" w:themeColor="text1"/>
              </w:rPr>
              <w:t>Montant total</w:t>
            </w:r>
          </w:p>
        </w:tc>
        <w:tc>
          <w:tcPr>
            <w:tcW w:w="2976" w:type="dxa"/>
          </w:tcPr>
          <w:p w:rsidRPr="009660D7" w:rsidR="005814E4" w:rsidP="00DA4255" w:rsidRDefault="005814E4" w14:paraId="1A44AE12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  <w:i/>
                <w:color w:val="000000" w:themeColor="text1"/>
              </w:rPr>
            </w:pPr>
          </w:p>
        </w:tc>
        <w:tc>
          <w:tcPr>
            <w:tcW w:w="2943" w:type="dxa"/>
          </w:tcPr>
          <w:p w:rsidRPr="009660D7" w:rsidR="005814E4" w:rsidP="00DA4255" w:rsidRDefault="005814E4" w14:paraId="57D6B57D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  <w:i/>
                <w:color w:val="000000" w:themeColor="text1"/>
              </w:rPr>
            </w:pPr>
            <w:r w:rsidRPr="009660D7">
              <w:rPr>
                <w:b/>
                <w:i/>
                <w:color w:val="000000" w:themeColor="text1"/>
              </w:rPr>
              <w:t>2</w:t>
            </w:r>
            <w:r>
              <w:rPr>
                <w:b/>
                <w:i/>
                <w:color w:val="000000" w:themeColor="text1"/>
              </w:rPr>
              <w:t>4 000</w:t>
            </w:r>
            <w:r w:rsidRPr="009660D7">
              <w:rPr>
                <w:b/>
                <w:i/>
                <w:color w:val="000000" w:themeColor="text1"/>
              </w:rPr>
              <w:t xml:space="preserve"> €</w:t>
            </w:r>
          </w:p>
        </w:tc>
      </w:tr>
    </w:tbl>
    <w:p w:rsidR="005814E4" w:rsidP="005814E4" w:rsidRDefault="005814E4" w14:paraId="2F04A2D7" w14:textId="77777777">
      <w:pP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</w:rPr>
      </w:pPr>
    </w:p>
    <w:p w:rsidRPr="00B51969" w:rsidR="005814E4" w:rsidP="005814E4" w:rsidRDefault="005814E4" w14:paraId="5FE7EC9E" w14:textId="77777777">
      <w:pPr>
        <w:tabs>
          <w:tab w:val="left" w:pos="567"/>
          <w:tab w:val="left" w:pos="1134"/>
          <w:tab w:val="left" w:pos="1701"/>
          <w:tab w:val="left" w:pos="2268"/>
        </w:tabs>
        <w:outlineLvl w:val="0"/>
        <w:rPr>
          <w:b/>
        </w:rPr>
      </w:pPr>
      <w:bookmarkStart w:name="_Toc502325365" w:id="15"/>
      <w:bookmarkStart w:name="_Toc502347795" w:id="16"/>
      <w:r>
        <w:rPr>
          <w:b/>
        </w:rPr>
        <w:t xml:space="preserve">Ces équipements </w:t>
      </w:r>
      <w:r w:rsidRPr="00B23E03">
        <w:rPr>
          <w:b/>
          <w:u w:val="single"/>
        </w:rPr>
        <w:t>seront amortis sur 3 ans</w:t>
      </w:r>
      <w:r>
        <w:rPr>
          <w:b/>
        </w:rPr>
        <w:t>.</w:t>
      </w:r>
      <w:bookmarkEnd w:id="15"/>
      <w:bookmarkEnd w:id="16"/>
    </w:p>
    <w:p w:rsidR="005814E4" w:rsidP="005814E4" w:rsidRDefault="005814E4" w14:paraId="5F6D536C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002630E7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p w:rsidR="005814E4" w:rsidP="005814E4" w:rsidRDefault="005814E4" w14:paraId="542EB927" w14:textId="77777777">
      <w:pPr>
        <w:tabs>
          <w:tab w:val="left" w:pos="567"/>
          <w:tab w:val="left" w:pos="1134"/>
          <w:tab w:val="left" w:pos="1701"/>
          <w:tab w:val="left" w:pos="2268"/>
        </w:tabs>
      </w:pPr>
      <w:r>
        <w:t>3/ Charges d’exploitation (loyers, électricité, connexion internet, …)</w:t>
      </w:r>
      <w:r w:rsidRPr="00B51969">
        <w:t xml:space="preserve"> : </w:t>
      </w:r>
    </w:p>
    <w:p w:rsidR="005814E4" w:rsidP="005814E4" w:rsidRDefault="005814E4" w14:paraId="1F81DF98" w14:textId="77777777">
      <w:pPr>
        <w:tabs>
          <w:tab w:val="left" w:pos="567"/>
          <w:tab w:val="left" w:pos="1134"/>
          <w:tab w:val="left" w:pos="1701"/>
          <w:tab w:val="left" w:pos="2268"/>
        </w:tabs>
      </w:pPr>
    </w:p>
    <w:tbl>
      <w:tblPr>
        <w:tblStyle w:val="Grilledutableau"/>
        <w:tblW w:w="8930" w:type="dxa"/>
        <w:tblInd w:w="392" w:type="dxa"/>
        <w:tblLook w:val="04A0" w:firstRow="1" w:lastRow="0" w:firstColumn="1" w:lastColumn="0" w:noHBand="0" w:noVBand="1"/>
      </w:tblPr>
      <w:tblGrid>
        <w:gridCol w:w="4961"/>
        <w:gridCol w:w="3969"/>
      </w:tblGrid>
      <w:tr w:rsidR="005814E4" w:rsidTr="00DA4255" w14:paraId="5D22B592" w14:textId="77777777">
        <w:tc>
          <w:tcPr>
            <w:tcW w:w="4961" w:type="dxa"/>
          </w:tcPr>
          <w:p w:rsidRPr="003C0583" w:rsidR="005814E4" w:rsidP="00DA4255" w:rsidRDefault="005814E4" w14:paraId="546B8496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3C0583">
              <w:rPr>
                <w:b/>
              </w:rPr>
              <w:t>Charge</w:t>
            </w:r>
            <w:r>
              <w:rPr>
                <w:b/>
              </w:rPr>
              <w:t>s</w:t>
            </w:r>
          </w:p>
        </w:tc>
        <w:tc>
          <w:tcPr>
            <w:tcW w:w="3969" w:type="dxa"/>
          </w:tcPr>
          <w:p w:rsidRPr="003C0583" w:rsidR="005814E4" w:rsidP="00DA4255" w:rsidRDefault="005814E4" w14:paraId="3BCA5B70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 w:rsidRPr="003C0583">
              <w:rPr>
                <w:b/>
              </w:rPr>
              <w:t>Prix</w:t>
            </w:r>
          </w:p>
        </w:tc>
      </w:tr>
      <w:tr w:rsidR="005814E4" w:rsidTr="00DA4255" w14:paraId="1AEA1630" w14:textId="77777777">
        <w:tc>
          <w:tcPr>
            <w:tcW w:w="4961" w:type="dxa"/>
          </w:tcPr>
          <w:p w:rsidRPr="003C0583" w:rsidR="005814E4" w:rsidP="00DA4255" w:rsidRDefault="005814E4" w14:paraId="179C92BC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</w:rPr>
            </w:pPr>
            <w:r>
              <w:t xml:space="preserve">Charges fixes d’exploitation </w:t>
            </w:r>
          </w:p>
        </w:tc>
        <w:tc>
          <w:tcPr>
            <w:tcW w:w="3969" w:type="dxa"/>
          </w:tcPr>
          <w:p w:rsidRPr="009660D7" w:rsidR="005814E4" w:rsidP="00DA4255" w:rsidRDefault="005814E4" w14:paraId="6CB5F0F7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  <w:rPr>
                <w:b/>
                <w:i/>
                <w:color w:val="000000" w:themeColor="text1"/>
              </w:rPr>
            </w:pPr>
            <w:r>
              <w:t>44 000 €</w:t>
            </w:r>
          </w:p>
        </w:tc>
      </w:tr>
      <w:tr w:rsidR="005814E4" w:rsidTr="00DA4255" w14:paraId="16846A8E" w14:textId="77777777">
        <w:tc>
          <w:tcPr>
            <w:tcW w:w="4961" w:type="dxa"/>
          </w:tcPr>
          <w:p w:rsidR="005814E4" w:rsidP="00DA4255" w:rsidRDefault="005814E4" w14:paraId="2161FCFE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Charges variables d’exploitation </w:t>
            </w:r>
          </w:p>
        </w:tc>
        <w:tc>
          <w:tcPr>
            <w:tcW w:w="3969" w:type="dxa"/>
          </w:tcPr>
          <w:p w:rsidR="005814E4" w:rsidP="00DA4255" w:rsidRDefault="005814E4" w14:paraId="47334FAD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5 000 €</w:t>
            </w:r>
          </w:p>
        </w:tc>
      </w:tr>
      <w:tr w:rsidR="005814E4" w:rsidTr="00DA4255" w14:paraId="37ADD328" w14:textId="77777777">
        <w:tc>
          <w:tcPr>
            <w:tcW w:w="4961" w:type="dxa"/>
          </w:tcPr>
          <w:p w:rsidR="005814E4" w:rsidP="00DA4255" w:rsidRDefault="005814E4" w14:paraId="70F880BB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 w:rsidRPr="003C0583">
              <w:rPr>
                <w:smallCaps/>
              </w:rPr>
              <w:t>A</w:t>
            </w:r>
            <w:r w:rsidRPr="003C0583">
              <w:t>utres charges variables</w:t>
            </w:r>
            <w:r w:rsidRPr="003C0583">
              <w:rPr>
                <w:sz w:val="28"/>
              </w:rPr>
              <w:t> </w:t>
            </w:r>
          </w:p>
        </w:tc>
        <w:tc>
          <w:tcPr>
            <w:tcW w:w="3969" w:type="dxa"/>
          </w:tcPr>
          <w:p w:rsidR="005814E4" w:rsidP="00DA4255" w:rsidRDefault="005814E4" w14:paraId="086F7A27" w14:textId="77777777">
            <w:pPr>
              <w:tabs>
                <w:tab w:val="left" w:pos="567"/>
                <w:tab w:val="left" w:pos="1134"/>
                <w:tab w:val="left" w:pos="1701"/>
                <w:tab w:val="left" w:pos="2268"/>
              </w:tabs>
            </w:pPr>
            <w:r>
              <w:t>55 000 €</w:t>
            </w:r>
          </w:p>
        </w:tc>
      </w:tr>
    </w:tbl>
    <w:p w:rsidR="005814E4" w:rsidP="005814E4" w:rsidRDefault="005814E4" w14:paraId="228A66B9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</w:p>
    <w:p w:rsidR="005814E4" w:rsidP="005814E4" w:rsidRDefault="005814E4" w14:paraId="32937BBC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:rsidR="005814E4" w:rsidP="005814E4" w:rsidRDefault="005814E4" w14:paraId="5EFE9B6F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  <w:b/>
        </w:rPr>
      </w:pPr>
    </w:p>
    <w:p w:rsidRPr="00511077" w:rsidR="005814E4" w:rsidP="005814E4" w:rsidRDefault="005814E4" w14:paraId="689DDDBE" w14:textId="77777777">
      <w:pPr>
        <w:tabs>
          <w:tab w:val="left" w:pos="567"/>
          <w:tab w:val="left" w:pos="1134"/>
          <w:tab w:val="left" w:pos="1701"/>
          <w:tab w:val="left" w:pos="2268"/>
        </w:tabs>
        <w:rPr>
          <w:rFonts w:cs="Arial"/>
        </w:rPr>
      </w:pPr>
      <w:r w:rsidRPr="00511077">
        <w:rPr>
          <w:rFonts w:cs="Arial"/>
          <w:b/>
        </w:rPr>
        <w:t>Remarque</w:t>
      </w:r>
      <w:r>
        <w:rPr>
          <w:rFonts w:cs="Arial"/>
          <w:b/>
        </w:rPr>
        <w:t>s</w:t>
      </w:r>
      <w:r w:rsidRPr="00511077">
        <w:rPr>
          <w:rFonts w:cs="Arial"/>
          <w:b/>
        </w:rPr>
        <w:t xml:space="preserve"> sur le salaire du commercial</w:t>
      </w:r>
      <w:r>
        <w:rPr>
          <w:rFonts w:cs="Arial"/>
          <w:b/>
        </w:rPr>
        <w:t> </w:t>
      </w:r>
    </w:p>
    <w:p w:rsidR="005814E4" w:rsidP="005814E4" w:rsidRDefault="005814E4" w14:paraId="0B50BBDC" w14:textId="77777777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</w:rPr>
      </w:pPr>
      <w:r>
        <w:rPr>
          <w:rFonts w:cs="Arial"/>
        </w:rPr>
        <w:t>Son</w:t>
      </w:r>
      <w:r w:rsidRPr="00612048">
        <w:rPr>
          <w:rFonts w:cs="Arial"/>
        </w:rPr>
        <w:t xml:space="preserve"> salaire fixe </w:t>
      </w:r>
      <w:r>
        <w:rPr>
          <w:rFonts w:cs="Arial"/>
        </w:rPr>
        <w:t xml:space="preserve">figure dans la rubrique "Charges salariales". </w:t>
      </w:r>
    </w:p>
    <w:p w:rsidR="005814E4" w:rsidP="005814E4" w:rsidRDefault="005814E4" w14:paraId="3343A7BC" w14:textId="77777777">
      <w:pPr>
        <w:tabs>
          <w:tab w:val="left" w:pos="567"/>
          <w:tab w:val="left" w:pos="1134"/>
          <w:tab w:val="left" w:pos="1701"/>
          <w:tab w:val="left" w:pos="2268"/>
        </w:tabs>
        <w:ind w:left="709"/>
        <w:rPr>
          <w:rFonts w:cs="Arial"/>
        </w:rPr>
      </w:pPr>
      <w:r>
        <w:rPr>
          <w:rFonts w:cs="Arial"/>
        </w:rPr>
        <w:t>La partie variable de son salaire est comprise dans la rubrique "autres charges variables".</w:t>
      </w:r>
    </w:p>
    <w:p w:rsidR="005814E4" w:rsidP="005814E4" w:rsidRDefault="005814E4" w14:paraId="4586B5B5" w14:textId="77777777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:rsidR="005814E4" w:rsidP="005814E4" w:rsidRDefault="005814E4" w14:paraId="5BF5B57F" w14:textId="77777777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</w:p>
    <w:p w:rsidRPr="00511077" w:rsidR="005814E4" w:rsidP="005814E4" w:rsidRDefault="005814E4" w14:paraId="7C40B3AE" w14:textId="77777777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rPr>
          <w:b/>
        </w:rPr>
      </w:pPr>
      <w:r w:rsidRPr="00511077">
        <w:rPr>
          <w:b/>
        </w:rPr>
        <w:t>Formule de calcul du point mort en nombre de jours</w:t>
      </w:r>
      <w:r>
        <w:rPr>
          <w:b/>
        </w:rPr>
        <w:t> </w:t>
      </w:r>
    </w:p>
    <w:p w:rsidR="005814E4" w:rsidP="005814E4" w:rsidRDefault="005814E4" w14:paraId="593A25A7" w14:textId="77777777">
      <w:pPr>
        <w:pStyle w:val="Sansinterligne"/>
        <w:tabs>
          <w:tab w:val="left" w:pos="567"/>
          <w:tab w:val="left" w:pos="1134"/>
          <w:tab w:val="left" w:pos="1701"/>
          <w:tab w:val="left" w:pos="2268"/>
        </w:tabs>
        <w:ind w:firstLine="708"/>
      </w:pPr>
      <w:r>
        <w:t>Seuil de rentabilité / (chiffre d’affaires / nombre de jours d’une année)</w:t>
      </w:r>
    </w:p>
    <w:p w:rsidRPr="005814E4" w:rsidR="009B7B02" w:rsidP="005814E4" w:rsidRDefault="009B7B02" w14:paraId="665D98B9" w14:textId="3DEA6145">
      <w:pPr>
        <w:suppressAutoHyphens w:val="0"/>
        <w:spacing w:after="200" w:line="276" w:lineRule="auto"/>
        <w:jc w:val="left"/>
        <w:rPr>
          <w:rFonts w:eastAsiaTheme="majorEastAsia" w:cstheme="majorBidi"/>
          <w:b/>
          <w:bCs/>
          <w:sz w:val="28"/>
          <w:szCs w:val="28"/>
          <w:u w:val="single"/>
        </w:rPr>
      </w:pPr>
    </w:p>
    <w:sectPr w:rsidRPr="005814E4" w:rsidR="009B7B0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4E4"/>
    <w:rsid w:val="005814E4"/>
    <w:rsid w:val="009B7B02"/>
    <w:rsid w:val="00D8B64D"/>
    <w:rsid w:val="029B0779"/>
    <w:rsid w:val="05EA929A"/>
    <w:rsid w:val="072C99CD"/>
    <w:rsid w:val="07429AFC"/>
    <w:rsid w:val="09D95092"/>
    <w:rsid w:val="0CB23B8B"/>
    <w:rsid w:val="16F6D5E3"/>
    <w:rsid w:val="18E67B7E"/>
    <w:rsid w:val="1A766DDD"/>
    <w:rsid w:val="1DA0C444"/>
    <w:rsid w:val="21DA3BA2"/>
    <w:rsid w:val="22743567"/>
    <w:rsid w:val="24F4D240"/>
    <w:rsid w:val="2719E7AB"/>
    <w:rsid w:val="34EFC1A6"/>
    <w:rsid w:val="34F6F204"/>
    <w:rsid w:val="36836E97"/>
    <w:rsid w:val="379E6B25"/>
    <w:rsid w:val="3C2D4AFB"/>
    <w:rsid w:val="40F371C3"/>
    <w:rsid w:val="4239105E"/>
    <w:rsid w:val="448A3888"/>
    <w:rsid w:val="450B09F0"/>
    <w:rsid w:val="48FE83A8"/>
    <w:rsid w:val="495B84C5"/>
    <w:rsid w:val="5860BC02"/>
    <w:rsid w:val="5BEA386C"/>
    <w:rsid w:val="5D77F524"/>
    <w:rsid w:val="63EFED7C"/>
    <w:rsid w:val="64FF0618"/>
    <w:rsid w:val="6575BCAE"/>
    <w:rsid w:val="698A54CD"/>
    <w:rsid w:val="6AF3CD2D"/>
    <w:rsid w:val="6FF0EB31"/>
    <w:rsid w:val="714F41EC"/>
    <w:rsid w:val="727714B8"/>
    <w:rsid w:val="72977138"/>
    <w:rsid w:val="7F3CE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B42A"/>
  <w15:chartTrackingRefBased/>
  <w15:docId w15:val="{5E65F942-CA16-4979-878A-1EA6110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cs="Arial" w:eastAsiaTheme="minorHAnsi"/>
        <w:sz w:val="24"/>
        <w:szCs w:val="24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14E4"/>
    <w:pPr>
      <w:suppressAutoHyphens/>
      <w:spacing w:after="0" w:line="240" w:lineRule="auto"/>
      <w:jc w:val="both"/>
    </w:pPr>
    <w:rPr>
      <w:rFonts w:eastAsia="Times New Roman" w:cs="Times New Roman"/>
      <w:sz w:val="22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5814E4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99"/>
    <w:qFormat/>
    <w:rsid w:val="005814E4"/>
    <w:pPr>
      <w:pBdr>
        <w:bottom w:val="single" w:color="auto" w:sz="8" w:space="4"/>
      </w:pBdr>
      <w:suppressAutoHyphens w:val="0"/>
      <w:spacing w:after="300"/>
      <w:contextualSpacing/>
    </w:pPr>
    <w:rPr>
      <w:rFonts w:ascii="Cambria" w:hAnsi="Cambria"/>
      <w:spacing w:val="5"/>
      <w:kern w:val="28"/>
      <w:sz w:val="40"/>
      <w:szCs w:val="52"/>
      <w:lang w:eastAsia="en-US"/>
    </w:rPr>
  </w:style>
  <w:style w:type="character" w:styleId="TitreCar" w:customStyle="1">
    <w:name w:val="Titre Car"/>
    <w:basedOn w:val="Policepardfaut"/>
    <w:link w:val="Titre"/>
    <w:uiPriority w:val="99"/>
    <w:rsid w:val="005814E4"/>
    <w:rPr>
      <w:rFonts w:ascii="Cambria" w:hAnsi="Cambria" w:eastAsia="Times New Roman" w:cs="Times New Roman"/>
      <w:spacing w:val="5"/>
      <w:kern w:val="28"/>
      <w:sz w:val="40"/>
      <w:szCs w:val="52"/>
    </w:rPr>
  </w:style>
  <w:style w:type="character" w:styleId="Titre1Car" w:customStyle="1">
    <w:name w:val="Titre 1 Car"/>
    <w:basedOn w:val="Policepardfaut"/>
    <w:link w:val="Titre1"/>
    <w:uiPriority w:val="9"/>
    <w:rsid w:val="005814E4"/>
    <w:rPr>
      <w:rFonts w:eastAsiaTheme="majorEastAsia" w:cstheme="majorBidi"/>
      <w:b/>
      <w:bCs/>
      <w:sz w:val="28"/>
      <w:szCs w:val="28"/>
      <w:lang w:eastAsia="zh-CN"/>
    </w:rPr>
  </w:style>
  <w:style w:type="table" w:styleId="Grilledutableau">
    <w:name w:val="Table Grid"/>
    <w:basedOn w:val="TableauNormal"/>
    <w:uiPriority w:val="59"/>
    <w:rsid w:val="005814E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ansinterligne">
    <w:name w:val="No Spacing"/>
    <w:uiPriority w:val="1"/>
    <w:qFormat/>
    <w:rsid w:val="005814E4"/>
    <w:pPr>
      <w:suppressAutoHyphens/>
      <w:spacing w:after="0" w:line="240" w:lineRule="auto"/>
      <w:jc w:val="both"/>
    </w:pPr>
    <w:rPr>
      <w:rFonts w:eastAsia="Times New Roman" w:cs="Times New Roman"/>
      <w:sz w:val="22"/>
      <w:lang w:eastAsia="zh-CN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fec2c49d36174782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E018285A04C64696899ACAD6F97465" ma:contentTypeVersion="11" ma:contentTypeDescription="Crée un document." ma:contentTypeScope="" ma:versionID="6ef2f83ec2e339aad48f6c1810a763e7">
  <xsd:schema xmlns:xsd="http://www.w3.org/2001/XMLSchema" xmlns:xs="http://www.w3.org/2001/XMLSchema" xmlns:p="http://schemas.microsoft.com/office/2006/metadata/properties" xmlns:ns2="bab771dd-67c8-4e99-9fbe-9abb2c1fca16" xmlns:ns3="b19ec9b7-b074-416e-ac1a-62affd9967dd" targetNamespace="http://schemas.microsoft.com/office/2006/metadata/properties" ma:root="true" ma:fieldsID="4d4fb7e70ed8b03d64ab87c8f79866af" ns2:_="" ns3:_="">
    <xsd:import namespace="bab771dd-67c8-4e99-9fbe-9abb2c1fca16"/>
    <xsd:import namespace="b19ec9b7-b074-416e-ac1a-62affd9967d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771dd-67c8-4e99-9fbe-9abb2c1fca1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ec9b7-b074-416e-ac1a-62affd9967d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ab771dd-67c8-4e99-9fbe-9abb2c1fca16" xsi:nil="true"/>
  </documentManagement>
</p:properties>
</file>

<file path=customXml/itemProps1.xml><?xml version="1.0" encoding="utf-8"?>
<ds:datastoreItem xmlns:ds="http://schemas.openxmlformats.org/officeDocument/2006/customXml" ds:itemID="{E9A08503-8064-433D-B0BE-C00EB18E1314}"/>
</file>

<file path=customXml/itemProps2.xml><?xml version="1.0" encoding="utf-8"?>
<ds:datastoreItem xmlns:ds="http://schemas.openxmlformats.org/officeDocument/2006/customXml" ds:itemID="{BA7B67AB-4C8B-4D84-8337-121AA60999CB}"/>
</file>

<file path=customXml/itemProps3.xml><?xml version="1.0" encoding="utf-8"?>
<ds:datastoreItem xmlns:ds="http://schemas.openxmlformats.org/officeDocument/2006/customXml" ds:itemID="{D4B36A1D-5213-4F3E-92C3-16E0512F32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stéphanie Buffet</dc:creator>
  <cp:keywords/>
  <dc:description/>
  <cp:lastModifiedBy>thalia sahed</cp:lastModifiedBy>
  <cp:revision>2</cp:revision>
  <dcterms:created xsi:type="dcterms:W3CDTF">2021-03-04T14:24:00Z</dcterms:created>
  <dcterms:modified xsi:type="dcterms:W3CDTF">2021-04-29T10:58:24Z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0x0101000AE018285A04C64696899ACAD6F97465</vt:lpwstr>
  </property>
</Properties>
</file>