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鳄鱼恤查防伪</w:t>
      </w:r>
      <w:bookmarkStart w:id="0" w:name="_GoBack"/>
      <w:bookmarkEnd w:id="0"/>
      <w:r>
        <w:rPr>
          <w:rFonts w:hint="eastAsia"/>
          <w:lang w:eastAsia="zh-CN"/>
        </w:rPr>
        <w:t>小程序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适配设备兼容范围</w:t>
      </w:r>
      <w:r>
        <w:rPr>
          <w:rFonts w:hint="eastAsia"/>
          <w:lang w:val="en-US" w:eastAsia="zh-CN"/>
        </w:rPr>
        <w:t xml:space="preserve"> 320-1028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Style w:val="9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获取条形码对应的商品信息</w:t>
      </w:r>
      <w:r>
        <w:rPr>
          <w:rStyle w:val="9"/>
          <w:rFonts w:hint="eastAsia" w:ascii="Segoe UI" w:hAnsi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接口地址</w:t>
      </w:r>
      <w:r>
        <w:rPr>
          <w:rStyle w:val="9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HOST地址：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"http://www.mxnzp.com/api" </w:instrTex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http://www.mxnzp.com/api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[HOST]/barcode/goods/details 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rPr>
          <w:sz w:val="28"/>
          <w:szCs w:val="28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说明：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 所有的接口都会返回如下格式的数据，具体数据包装在data中，需要根据状态来确定请求是否成功。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/>
        <w:ind w:left="720"/>
        <w:rPr>
          <w:sz w:val="28"/>
          <w:szCs w:val="28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请求方法：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 所有的请求中都是大部分都是GET请求（如果有特殊情况，则会特殊标明）</w:t>
      </w:r>
    </w:p>
    <w:p>
      <w:pPr>
        <w:bidi w:val="0"/>
        <w:rPr>
          <w:rFonts w:hint="default"/>
        </w:rPr>
      </w:pPr>
      <w:r>
        <w:rPr>
          <w:rFonts w:hint="default"/>
        </w:rPr>
        <w:t>返回数据：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color w:val="FF0000"/>
          <w:sz w:val="28"/>
          <w:szCs w:val="28"/>
        </w:rPr>
        <w:t>goodsName</w:t>
      </w:r>
      <w:r>
        <w:rPr>
          <w:sz w:val="28"/>
          <w:szCs w:val="28"/>
        </w:rPr>
        <w:t>：</w:t>
      </w:r>
      <w:r>
        <w:rPr>
          <w:rFonts w:hint="default"/>
          <w:sz w:val="28"/>
          <w:szCs w:val="28"/>
        </w:rPr>
        <w:t> 商品名称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barcode：</w:t>
      </w:r>
      <w:r>
        <w:rPr>
          <w:rFonts w:hint="default"/>
          <w:sz w:val="28"/>
          <w:szCs w:val="28"/>
        </w:rPr>
        <w:t> 商品对应的条形码code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price：</w:t>
      </w:r>
      <w:r>
        <w:rPr>
          <w:rFonts w:hint="default"/>
          <w:sz w:val="28"/>
          <w:szCs w:val="28"/>
        </w:rPr>
        <w:t> 预估价格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brand：</w:t>
      </w:r>
      <w:r>
        <w:rPr>
          <w:rFonts w:hint="default"/>
          <w:sz w:val="28"/>
          <w:szCs w:val="28"/>
        </w:rPr>
        <w:t> 品牌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supplier：</w:t>
      </w:r>
      <w:r>
        <w:rPr>
          <w:rFonts w:hint="default"/>
          <w:sz w:val="28"/>
          <w:szCs w:val="28"/>
        </w:rPr>
        <w:t> 厂商</w:t>
      </w:r>
    </w:p>
    <w:p>
      <w:pPr>
        <w:numPr>
          <w:ilvl w:val="0"/>
          <w:numId w:val="1"/>
        </w:numPr>
        <w:bidi w:val="0"/>
        <w:rPr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standard：</w:t>
      </w:r>
      <w:r>
        <w:rPr>
          <w:rFonts w:hint="default"/>
          <w:sz w:val="28"/>
          <w:szCs w:val="28"/>
        </w:rPr>
        <w:t> 规格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"code"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2"/>
          <w:szCs w:val="22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"msg"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"数据返回成功"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"data"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"goodsName"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"脉动维生素饮料（水蜜桃口味）600ml"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"barcode"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"6902538005141"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"price"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"3.80"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"brand"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"达能"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"supplier"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"达能(中国)食品饮料有限公司"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"standard"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2"/>
          <w:szCs w:val="22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2"/>
          <w:szCs w:val="22"/>
          <w:bdr w:val="none" w:color="auto" w:sz="0" w:space="0"/>
          <w:shd w:val="clear" w:fill="F6F8FA"/>
        </w:rPr>
        <w:t>"600ml"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2"/>
          <w:szCs w:val="22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720"/>
        <w:rPr>
          <w:rStyle w:val="9"/>
          <w:rFonts w:hint="eastAsia" w:ascii="Segoe UI" w:hAnsi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Style w:val="9"/>
          <w:rFonts w:hint="eastAsia" w:ascii="Segoe UI" w:hAnsi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3185795" cy="634365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2825" cy="636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95992"/>
    <w:multiLevelType w:val="multilevel"/>
    <w:tmpl w:val="E03959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24320"/>
    <w:rsid w:val="17142A31"/>
    <w:rsid w:val="2EEE0CE4"/>
    <w:rsid w:val="63F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2019-03-13T07:03:50Z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