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Рахунок на оплату № 12</w:t>
      </w:r>
    </w:p>
    <w:p>
      <w:pPr>
        <w:spacing w:after="360" w:before="0" w:line="2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від 25 квітня 2026 року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26"/>
        <w:gridCol w:w="2500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Постачальник: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Фізична особа‑підприємець Шевченко Тарас Григорович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РНОКПП: 2857431699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Адреса: 01001, м. Київ, вул. Хрещатик, буд. 22, кв. 7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IBAN: UA663052990000026007123456789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Банк: АТ КБ «ПриватБанк»</w:t>
            </w:r>
          </w:p>
        </w:tc>
        <w:tc>
          <w:tcPr>
            <w:tcW w:type="dxa" w:w="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2500"/>
              <w:tblBorders>
                <w:top w:val="single" w:color="999999" w:sz="6"/>
                <w:left w:val="single" w:color="999999" w:sz="6"/>
                <w:bottom w:val="single" w:color="999999" w:sz="6"/>
                <w:right w:val="single" w:color="999999" w:sz="6"/>
                <w:insideH w:val="single" w:color="999999" w:sz="6"/>
                <w:insideV w:val="single" w:color="999999" w:sz="6"/>
              </w:tblBorders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line="2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8"/>
                      <w:szCs w:val="18"/>
                    </w:rPr>
                    <w:t xml:space="preserve">QR-код</w:t>
                  </w:r>
                </w:p>
                <w:p>
                  <w:pPr>
                    <w:spacing w:after="0" w:line="2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8"/>
                      <w:szCs w:val="18"/>
                    </w:rPr>
                    <w:t xml:space="preserve">для оплати</w:t>
                  </w:r>
                </w:p>
              </w:tc>
            </w:tr>
          </w:tbl>
          <w:p/>
        </w:tc>
      </w:tr>
    </w:tbl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Платник: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Товариство з обмеженою відповідальністю «Бриз»</w:t>
      </w:r>
    </w:p>
    <w:p>
      <w:pPr>
        <w:spacing w:after="40" w:line="240"/>
      </w:pPr>
      <w:r>
        <w:rPr>
          <w:rFonts w:ascii="Arial" w:cs="Arial" w:eastAsia="Arial" w:hAnsi="Arial"/>
          <w:sz w:val="20"/>
          <w:szCs w:val="20"/>
        </w:rPr>
        <w:t xml:space="preserve">код ЄДРПОУ: 42836178</w:t>
      </w:r>
    </w:p>
    <w:p>
      <w:pPr>
        <w:spacing w:after="40" w:line="240"/>
      </w:pPr>
      <w:r>
        <w:rPr>
          <w:rFonts w:ascii="Arial" w:cs="Arial" w:eastAsia="Arial" w:hAnsi="Arial"/>
          <w:sz w:val="20"/>
          <w:szCs w:val="20"/>
        </w:rPr>
        <w:t xml:space="preserve">Адреса: 03150, м. Київ, вул. Велика Васильківська, буд. 100, оф. 12</w:t>
      </w:r>
    </w:p>
    <w:p>
      <w:pPr>
        <w:spacing w:after="200" w:before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Підстава: Договором № 15 від 01 квітня 2026 року.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40"/>
        <w:gridCol w:w="4400"/>
        <w:gridCol w:w="800"/>
        <w:gridCol w:w="900"/>
        <w:gridCol w:w="1180"/>
        <w:gridCol w:w="1206"/>
      </w:tblGrid>
      <w:tr>
        <w:trPr>
          <w:tblHeader/>
        </w:trPr>
        <w:tc>
          <w:tcPr>
            <w:tcW w:type="dxa" w:w="5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4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Найменування послуги (роботи)</w:t>
            </w:r>
          </w:p>
        </w:tc>
        <w:tc>
          <w:tcPr>
            <w:tcW w:type="dxa" w:w="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К-сть</w:t>
            </w:r>
          </w:p>
        </w:tc>
        <w:tc>
          <w:tcPr>
            <w:tcW w:type="dxa" w:w="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Од.</w:t>
            </w:r>
          </w:p>
        </w:tc>
        <w:tc>
          <w:tcPr>
            <w:tcW w:type="dxa" w:w="11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Ціна, грн</w:t>
            </w:r>
          </w:p>
        </w:tc>
        <w:tc>
          <w:tcPr>
            <w:tcW w:type="dxa" w:w="120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Сума, грн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Розробка корпоративного веб-сайту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шт.</w:t>
            </w:r>
          </w:p>
        </w:tc>
        <w:tc>
          <w:tcPr>
            <w:tcW w:type="dxa" w:w="11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  <w:tc>
          <w:tcPr>
            <w:tcW w:type="dxa" w:w="1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</w:tr>
      <w:tr>
        <w:tc>
          <w:tcPr>
            <w:tcW w:type="dxa" w:w="7820"/>
            <w:gridSpan w:val="5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Усього на суму:</w:t>
            </w:r>
          </w:p>
        </w:tc>
        <w:tc>
          <w:tcPr>
            <w:tcW w:type="dxa" w:w="120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50 000,00</w:t>
            </w:r>
          </w:p>
        </w:tc>
      </w:tr>
    </w:tbl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Загальна сума: П’ятдесят тисяч гривень 00 копійок.</w:t>
      </w:r>
    </w:p>
    <w:p>
      <w:pPr>
        <w:spacing w:after="12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Термін оплати: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 банківських днів від дати виставлення рахунку.</w:t>
      </w:r>
    </w:p>
    <w:p>
      <w:pPr>
        <w:spacing w:after="24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Призначення платежу: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Оплата за послуги згідно рахунку № 12 від 25 квітня 2026 року, без ПДВ.</w:t>
      </w:r>
    </w:p>
    <w:p>
      <w:pPr>
        <w:spacing w:after="240" w:before="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Постачальник: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Шевченко Т.Г.</w:t>
      </w:r>
    </w:p>
    <w:p>
      <w:pPr>
        <w:spacing w:after="4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(підпис)                    (П.І.Б.)</w:t>
      </w:r>
    </w:p>
    <w:p>
      <w:pPr>
        <w:spacing w:after="0" w:before="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М.П.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Зразок документа · EasyAct.online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Рахунок на оплату № 12</dc:title>
  <dc:creator>EasyAct</dc:creator>
  <dc:description>Зразок рахунку на оплату. Згенеровано EasyAct для демонстрації.</dc:description>
  <cp:lastModifiedBy>Un-named</cp:lastModifiedBy>
  <cp:revision>1</cp:revision>
  <dcterms:created xsi:type="dcterms:W3CDTF">2026-05-09T16:54:48.356Z</dcterms:created>
  <dcterms:modified xsi:type="dcterms:W3CDTF">2026-05-09T16:54:48.356Z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