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lhhhnpyq65bl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Специфікація вимог до програмного продукту «ФінКит»</w:t>
      </w:r>
    </w:p>
    <w:p w:rsidR="00000000" w:rsidDel="00000000" w:rsidP="00000000" w:rsidRDefault="00000000" w:rsidRPr="00000000" w14:paraId="00000002">
      <w:pPr>
        <w:spacing w:after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Версія: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1.1 (Оновлена після аудиту)</w:t>
      </w:r>
    </w:p>
    <w:p w:rsidR="00000000" w:rsidDel="00000000" w:rsidP="00000000" w:rsidRDefault="00000000" w:rsidRPr="00000000" w14:paraId="00000003">
      <w:pPr>
        <w:spacing w:after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Дата оновлення: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Жовтень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Документ оновлено: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Марія Сизова (Тест-аналітик)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p3i358mzsxis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ЖУРНАЛ ЗМІН (CHANGE LOG) — Версія 1.1</w:t>
      </w:r>
    </w:p>
    <w:p w:rsidR="00000000" w:rsidDel="00000000" w:rsidP="00000000" w:rsidRDefault="00000000" w:rsidRPr="00000000" w14:paraId="00000006">
      <w:pPr>
        <w:spacing w:after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Нижче наведено перелік змін, внесених до SRS 1.0 за результатами перехресного аудиту вимог (Спринт 2). Знайдено та усунуто 27 дефектів якості вимог.</w:t>
      </w:r>
    </w:p>
    <w:tbl>
      <w:tblPr>
        <w:tblStyle w:val="Table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90"/>
        <w:gridCol w:w="2445"/>
        <w:gridCol w:w="2415"/>
        <w:gridCol w:w="2550"/>
        <w:tblGridChange w:id="0">
          <w:tblGrid>
            <w:gridCol w:w="1290"/>
            <w:gridCol w:w="2445"/>
            <w:gridCol w:w="2415"/>
            <w:gridCol w:w="255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 Вимоги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Стара версія (SRS 1.0)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Нова версія (SRS 1.1)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Причина зміни / Критерій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F-90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Дати вводяться у стандартному форматі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Дати вводяться у форматі YYYY-MM-DD (наприклад, 2026-10-15).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Однозначність (відсутність єдиного стандарту).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Система витримує великі обсяги... без відчутної деградації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[ПІДТВ.] За навантаження до 200 одночасних клієнтів 95-й перцентиль часу відповіді сторінок не перевищує 1,5 с.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Однозначність (брак числових показників).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Документація ... має бути повною і зрозумілою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Посібник користувача описує кожну функцію кабінету з розділу 3 (F-10…F-130): призначення, кроки та очікуваний результат.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Однозначність (суб'єктивні оцінки).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GUI-50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...показує відповідне повідомлення помітним кольором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...система показує повідомлення про помилку червоним кольором поряд із полем суми (див. GUI-75).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Однозначність (брак конкретики).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BL-50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...має відповідати українському формату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IBAN дійсний, якщо це рядок «UA» і рівно 27 цифр (разом 29 символів). Перевірка контрольних цифр — за BL-60.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Однозначність (розмите поняття формату).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...на новий переказується початковий внесок 100 грн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Якщо баланс джерела менший за 100 грн, рахунок не відкривається; помилка «Недостатньо коштів».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Повнота (не описано виняток).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F-110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Мінімальна сума кредиту — 500 грн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Сума кредиту від 1 000 до 1 000 000 грн, строк від 3 до 60 місяців (за BL-30). [ПІДТВ.] Правила першого внеску.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Повнота (немає макс. суми та строку) / Несуперечливість з BL-30.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Склад полів... визначено в «Регламент виписок ФК-РВ-2»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Перелік операцій містить поля: дата, ID операції, опис, тип, сума (див. Додаток А).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Простежуваність (документ відсутній).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2.3 п.5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...їх значення за замовчуванням не входять до документа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[ПІДТВ.] Додати до 2.3 п.5 значення за замовчуванням (спосіб опрацювання та поріг, %).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Повнота (відсутні параметри кредитного рішення).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BL-70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withdraw(amount) … зменшує; сума кожної операції має бути додатною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[ПІДТВ.] Якщо amount &gt; balance, withdraw відхиляє операцію винятком; баланс не змінюється.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Повнота (не визначено поведінку при овердрафті).</w:t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GUI-20 / F-30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GUI-20: 4 поля. F-30: 7 полів.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Форма містить 7 полів за F-30: Ім'я, Прізвище, Адреса, Місто, Область, Індекс, РНОКПП. Поле Телефон прибрати.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Несуперечливість.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GUI-80 / S-10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GUI-80: 8 годин. S-10: 15 хвилин бездіяльності.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GUI-80: Після входу сеанс активний, поки є дії; ліміт бездіяльності — 15 хвилин (S-10).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Несуперечливість.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F-70 / BL-40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F-70: 100 000 грн. BL-40: 50 000 грн.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[ПІДТВ.] Єдиний денний ліміт 100 000 грн у F-70 і BL-40.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Несуперечливість.</w:t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2.1 / 2.3 п.5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Роль ризик-менеджера та адміна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Параметри задає Адміністратор (2.3 п.5). Для Ризик-менеджера вказати: поза обсягом версії.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Несуперечливість.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F-30 / S-20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F-30: система показує логін і пароль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Система показує логін клієнта; пароль не відображається. [ПІДТВ.] Спосіб відновлення пароля.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Несуперечливість (критична помилка безпеки).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GUI-40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Два різні рядки мають ідентифікатор GUI40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Другу вимогу GUI-40 (відкриття рахунку) перенумерувати на GUI-45.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Простежуваність (дублювання ID).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GUI-70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Рядок без ID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Присвоїти цій вимозі ідентифікатор GUI-75.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Простежуваність.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...процедуру скидання даних (F-150) та налаштування (F-160)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…процедуру ініціалізації даних (розд. 2.1) і налаштування (розд. 2.3 п.5).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Простежуваність (биті посилання).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F-130 / F-140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Дублювання функціоналу служби підтримки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Об'єднати в F-130; F-140 вилучити.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Простежуваність (дублювання вимог).</w:t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F-80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...перевіряє наявність одержувача в реєстрах усіх банків світу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Перед відправленням перевіряє формат і контрольні цифри IBAN (BL-50, BL-60).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Здійсненність (неможлива вимога).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BL-60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...в реєстрі НБУ в режимі реального часу; без мережевих з'єднань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Модуль перевіряє контрольні цифри IBAN за MOD-97 без мережевих викликів.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Здійсненність (суперечність умов).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...відображається не довше ніж за 0,1 с … включно з 2G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[ПІДТВ.] Не довше ніж за 1,0 с у Wi-Fi/4G і 3,0 с у 2G/3G.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Здійсненність.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Система гарантує 100 % захист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Сторінки недоступні без входу; пароль приховано; канал HTTPS.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Здійсненність (100% гарантія неможлива).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GUI-70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Форма заявки має бути інтуїтивно зрозумілою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Новий клієнт заповнює форму не довше ніж за 3 хв, з 1 помилкою.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Тестопридатність (суб'єктивність).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BL-80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...без помилок за будь-яких вхідних даних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Після відхиленої операції метод balance() повертає те саме значення.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Тестопридатність.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Інтерфейс має бути зручним і приємним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[ПІДТВ.] Розмір шрифту не менше 14 px; контрастність за WCAG 2.1 AA.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Тестопридатність (суб'єктивність).</w:t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536by244938r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 Вступ та огляд</w:t>
      </w:r>
    </w:p>
    <w:p w:rsidR="00000000" w:rsidDel="00000000" w:rsidP="00000000" w:rsidRDefault="00000000" w:rsidRPr="00000000" w14:paraId="00000074">
      <w:pPr>
        <w:spacing w:after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(Розділ 1.1 - 1.3 залишаються без суттєвих змін згідно з оригінальним SRS)</w:t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c3pwwsb7gz6g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 Користувачі та Ролі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zh7hkyj53yf5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2.1 Ролі користувачів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Клієнт: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...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(без змін)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Операціоніст: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...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(без змін)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Ризик-менеджер: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Розгляд заявок.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Увага: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Визначення параметрів кредитного рішення винесено поза обсяг поточної версії.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Адміністратор: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Керує обліковими записами, скиданням даних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налаштуванням параметрів кредитного рішення (див. 2.3 п.5)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ecrcwlucyiy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2.3 Обмеження та припущення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П.5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Параметри автоматичного кредитного рішення задає Адміністратор.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[ПІДТВ.]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Необхідно додати до документа значення за замовчуванням (спосіб опрацювання та поріг, %).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6204cinxqlq6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 Функціональні вимоги кабінету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F-30: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Форма «Пошук клієнта» (для відновлення доступу) містить 7 полів: Ім'я, Прізвище, Адреса, Місто, Область, Індекс, РНОКПП (поле «Телефон» прибрано). Якщо дані збігаються, система показує логін клієнта;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пароль не відображається. [ПІДТВ.] Необхідно розробити безпечний спосіб відновлення пароля.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F-50: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Перелік операцій містить поля: дата, ID операції, опис, тип (зарахування/списання), сума (див. Додаток А).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F-60: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Якщо баланс рахунку-джерела менший за 100 грн, рахунок не відкривається; система показує помилку «Недостатньо коштів для початкового внеску».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F-70: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[ПІДТВ.]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Встановлено єдиний денний ліміт переказів — 100 000 грн (узгоджено з BL-40).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F-80: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Перед відправленням переказу система перевіряє формат і контрольні цифри IBAN одержувача (відповідно до BL-50, BL-60) та достатність коштів на рахунку списання.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F-90: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Дати вводяться у форматі YYYY-MM-DD (наприклад, 2026-10-15).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F-110: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[ПІДТВ.]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Сума кредиту від 1 000 до 1 000 000 грн (узгоджено з BL-30), строк від 3 до 60 місяців. Необхідно визначити правила першого внеску та перелік причин відмови.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F-130: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Сторінка «Служба підтримки» містить форму зворотного зв'язку (доступна як відвідувачам, так і авторизованим клієнтам). Вимогу F-140 вилучено як дублікат.</w:t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yvhdcfrtyqq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 Вимоги до інтерфейсу користувача (GUI)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GUI-20: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Форма реєстрації/відновлення містить 7 полів (ідентично до F-30).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GUI-40: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Меню кабінету...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(без змін)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GUI-45: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[Новий ID]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Форма відкриття рахунку...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(колишній дублікат GUI-40)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GUI-50: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Система показує повідомлення про помилку червоним кольором поряд із полем суми (див. GUI-75).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GUI-70: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Новий клієнт заповнює і подає форму заявки на кредит не довше ніж за 3 хвилини, припустившись не більше однієї помилки введення.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GUI-75: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[Новий ID]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Повідомлення про помилки введення показуються червоним кольором поряд із полем, що містить помилку.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GUI-80: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входу сеанс активний, поки користувач виконує дії; ліміт бездіяльності становить 15 хвилин (згідно з S-10).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gno2673fm5y2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5. Правила бізнес-логіки Java-модуля (BL)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BL-40: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[ПІДТВ.]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Денний ліміт — 100 000 грн (узгоджено з F-70).</w:t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BL-50: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IBAN дійсний, якщо це рядок «UA» і рівно 27 цифр (разом 29 символів). Перевірка контрольних цифр здійснюється за BL-60.</w:t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BL-60: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Модуль перевіряє контрольні цифри IBAN за алгоритмом MOD-97 без мережевих викликів.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BL-70: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[ПІДТВ.]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Якщо amount &gt; balance, метод withdraw відхиляє операцію винятком; баланс не змінюється.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BL-80: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будь-якої відхиленої операції метод balance() повертає те саме значення, що й до виклику.</w:t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after="8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h4v5os19v0bk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6. Нефункціональні вимоги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P-10: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[ПІДТВ.]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Сторінка кабінету відображається повністю не довше ніж за 1,0 с у мережі Wi-Fi/4G і не довше ніж за 3,0 с у мережі 2G/3G.</w:t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P-20: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[ПІДТВ.]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навантаження до 200 одночасних клієнтів 95-й перцентиль часу відповіді сторінок кабінету не перевищує 1,5 с.</w:t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S-10: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Автоматичне завершення сеансу після 15 хв бездіяльності.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(без змін, пріоритет над GUI-80)</w:t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S-20: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Сторінки кабінету недоступні без авторизації; пароль не відображається відкритим текстом; передача даних здійснюється виключно захищеним каналом HTTPS.</w:t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U-10: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[ПІДТВ.]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Розмір шрифту основного тексту — не менше 14 px; контрастність тексту й елементів відповідає стандарту WCAG 2.1 рівня AA.</w:t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D-10: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Посібник користувача описує кожну функцію кабінету з розділу 3 (F-10…F-130): призначення, кроки виконання та очікуваний результат.</w:t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D-20: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[Оновлено]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Документація адміністратора описує процедуру ініціалізації даних (розд. 2.1) і налаштування параметрів кредитного рішення (розд. 2.3 п.5).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